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27"/>
        <w:ind w:right="261"/>
        <w:jc w:val="center"/>
        <w:spacing w:before="200" w:after="200"/>
        <w:widowControl w:val="off"/>
        <w:rPr>
          <w:rFonts w:ascii="Times New Roman" w:hAnsi="Times New Roman"/>
          <w:bCs w:val="0"/>
          <w:i w:val="0"/>
          <w:iCs w:val="0"/>
          <w:sz w:val="22"/>
          <w:szCs w:val="22"/>
        </w:rPr>
      </w:pPr>
      <w:r>
        <w:rPr>
          <w:rFonts w:ascii="Times New Roman" w:hAnsi="Times New Roman"/>
          <w:bCs w:val="0"/>
          <w:i w:val="0"/>
          <w:iCs w:val="0"/>
          <w:sz w:val="22"/>
          <w:szCs w:val="22"/>
        </w:rPr>
        <w:t xml:space="preserve">ДОГОВОР ПОСТАВКИ №</w:t>
      </w:r>
      <w:r>
        <w:rPr>
          <w:rFonts w:ascii="Times New Roman" w:hAnsi="Times New Roman"/>
          <w:i w:val="0"/>
          <w:color w:val="000000"/>
          <w:sz w:val="22"/>
          <w:szCs w:val="22"/>
        </w:rPr>
        <w:t xml:space="preserve"> </w:t>
      </w:r>
      <w:r>
        <w:rPr>
          <w:rFonts w:ascii="Times New Roman" w:hAnsi="Times New Roman"/>
          <w:bCs w:val="0"/>
          <w:i w:val="0"/>
          <w:iCs w:val="0"/>
          <w:sz w:val="22"/>
          <w:szCs w:val="22"/>
        </w:rPr>
      </w:r>
      <w:r>
        <w:rPr>
          <w:rFonts w:ascii="Times New Roman" w:hAnsi="Times New Roman"/>
          <w:bCs w:val="0"/>
          <w:i w:val="0"/>
          <w:iCs w:val="0"/>
          <w:sz w:val="22"/>
          <w:szCs w:val="22"/>
        </w:rPr>
      </w:r>
    </w:p>
    <w:p>
      <w:pPr>
        <w:pStyle w:val="1005"/>
        <w:ind w:left="0" w:right="-23" w:firstLine="0"/>
        <w:spacing w:before="0"/>
        <w:widowControl w:val="off"/>
        <w:rPr>
          <w:b w:val="0"/>
          <w:sz w:val="22"/>
          <w:szCs w:val="22"/>
        </w:rPr>
      </w:pPr>
      <w:r>
        <w:rPr>
          <w:b w:val="0"/>
          <w:sz w:val="22"/>
          <w:szCs w:val="22"/>
        </w:rPr>
        <w:t xml:space="preserve">г. Москва</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 xml:space="preserve">«</w:t>
      </w:r>
      <w:r>
        <w:rPr>
          <w:b w:val="0"/>
          <w:sz w:val="22"/>
          <w:szCs w:val="22"/>
        </w:rPr>
        <w:t xml:space="preserve">___» ____________ 202_ г.</w:t>
      </w:r>
      <w:r>
        <w:rPr>
          <w:b w:val="0"/>
          <w:sz w:val="22"/>
          <w:szCs w:val="22"/>
        </w:rPr>
      </w:r>
      <w:r>
        <w:rPr>
          <w:b w:val="0"/>
          <w:sz w:val="22"/>
          <w:szCs w:val="22"/>
        </w:rPr>
      </w:r>
    </w:p>
    <w:p>
      <w:pPr>
        <w:pStyle w:val="1003"/>
        <w:ind w:firstLine="567"/>
        <w:jc w:val="both"/>
        <w:spacing w:before="200" w:after="0"/>
        <w:widowControl w:val="off"/>
        <w:rPr>
          <w:sz w:val="22"/>
          <w:szCs w:val="22"/>
        </w:rPr>
      </w:pPr>
      <w:r>
        <w:rPr>
          <w:b/>
          <w:sz w:val="22"/>
          <w:szCs w:val="22"/>
        </w:rPr>
        <w:t xml:space="preserve">ООО «Интер РАО – Инжиниринг»</w:t>
      </w:r>
      <w:r>
        <w:rPr>
          <w:sz w:val="22"/>
          <w:szCs w:val="22"/>
        </w:rPr>
        <w:t xml:space="preserve">, именуемое в дальнейшем </w:t>
      </w:r>
      <w:r>
        <w:rPr>
          <w:b/>
          <w:sz w:val="22"/>
          <w:szCs w:val="22"/>
        </w:rPr>
        <w:t xml:space="preserve">«Покупатель»</w:t>
      </w:r>
      <w:r>
        <w:rPr>
          <w:sz w:val="22"/>
          <w:szCs w:val="22"/>
        </w:rPr>
        <w:t xml:space="preserve">, </w:t>
      </w:r>
      <w:r>
        <w:rPr>
          <w:color w:val="000000"/>
          <w:sz w:val="22"/>
          <w:szCs w:val="22"/>
        </w:rPr>
        <w:t xml:space="preserve">в лице ________________________________________________, действующего на основании ___________________________________</w:t>
      </w:r>
      <w:r>
        <w:rPr>
          <w:sz w:val="22"/>
          <w:szCs w:val="22"/>
        </w:rPr>
        <w:t xml:space="preserve">, с одной стороны, и </w:t>
      </w:r>
      <w:r>
        <w:rPr>
          <w:sz w:val="22"/>
          <w:szCs w:val="22"/>
        </w:rPr>
      </w:r>
      <w:r>
        <w:rPr>
          <w:sz w:val="22"/>
          <w:szCs w:val="22"/>
        </w:rPr>
      </w:r>
    </w:p>
    <w:p>
      <w:pPr>
        <w:pStyle w:val="1003"/>
        <w:ind w:firstLine="567"/>
        <w:jc w:val="both"/>
        <w:spacing w:after="0"/>
        <w:widowControl w:val="off"/>
        <w:rPr>
          <w:sz w:val="22"/>
          <w:szCs w:val="22"/>
        </w:rPr>
      </w:pPr>
      <w:r>
        <w:rPr>
          <w:sz w:val="22"/>
          <w:szCs w:val="22"/>
        </w:rPr>
        <w:t xml:space="preserve">________________________, именуемое в дальнейшем </w:t>
      </w:r>
      <w:r>
        <w:rPr>
          <w:b/>
          <w:sz w:val="22"/>
          <w:szCs w:val="22"/>
        </w:rPr>
        <w:t xml:space="preserve">«Поставщик»</w:t>
      </w:r>
      <w:r>
        <w:rPr>
          <w:sz w:val="22"/>
          <w:szCs w:val="22"/>
        </w:rPr>
        <w:t xml:space="preserve">, в лице </w:t>
      </w:r>
      <w:r>
        <w:rPr>
          <w:sz w:val="22"/>
          <w:szCs w:val="22"/>
        </w:rPr>
        <w:t xml:space="preserve">________________________________, действующего на основании _____________________, с другой стороны, </w:t>
      </w:r>
      <w:r>
        <w:rPr>
          <w:sz w:val="22"/>
          <w:szCs w:val="22"/>
        </w:rPr>
      </w:r>
      <w:r>
        <w:rPr>
          <w:sz w:val="22"/>
          <w:szCs w:val="22"/>
        </w:rPr>
      </w:r>
    </w:p>
    <w:p>
      <w:pPr>
        <w:pStyle w:val="1003"/>
        <w:ind w:firstLine="567"/>
        <w:jc w:val="both"/>
        <w:spacing w:after="0"/>
        <w:widowControl w:val="off"/>
        <w:rPr>
          <w:sz w:val="22"/>
          <w:szCs w:val="22"/>
        </w:rPr>
      </w:pPr>
      <w:r>
        <w:rPr>
          <w:sz w:val="22"/>
          <w:szCs w:val="22"/>
        </w:rPr>
        <w:t xml:space="preserve">в дальнейшем именуемые при упоминании совместно «Стороны», а по отдельности «Сторона», заключили настоящий Договор (далее – Договор) о нижеследующем:</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ПРЕДМЕТ И ОБЩИЕ УСЛОВИЯ ДОГОВОРА</w:t>
      </w:r>
      <w:r>
        <w:rPr>
          <w:b/>
          <w:sz w:val="22"/>
          <w:szCs w:val="22"/>
        </w:rPr>
      </w:r>
      <w:r>
        <w:rPr>
          <w:b/>
          <w:sz w:val="22"/>
          <w:szCs w:val="22"/>
        </w:rPr>
      </w:r>
    </w:p>
    <w:p>
      <w:pPr>
        <w:numPr>
          <w:ilvl w:val="1"/>
          <w:numId w:val="1"/>
        </w:numPr>
        <w:ind w:left="0" w:firstLine="567"/>
        <w:jc w:val="both"/>
        <w:tabs>
          <w:tab w:val="clear" w:pos="432" w:leader="none"/>
          <w:tab w:val="left" w:pos="993" w:leader="none"/>
        </w:tabs>
        <w:rPr>
          <w:sz w:val="22"/>
          <w:szCs w:val="22"/>
        </w:rPr>
      </w:pPr>
      <w:r>
        <w:rPr>
          <w:sz w:val="22"/>
          <w:szCs w:val="22"/>
        </w:rPr>
        <w:t xml:space="preserve"> В соответствии с Договором, Поставщик обязуется в течение срока действия настоящего Договора поставить Покупателю </w:t>
      </w:r>
      <w:r>
        <w:rPr>
          <w:b/>
          <w:sz w:val="22"/>
          <w:szCs w:val="22"/>
        </w:rPr>
        <w:t xml:space="preserve">____________________ </w:t>
      </w:r>
      <w:r>
        <w:rPr>
          <w:sz w:val="22"/>
          <w:szCs w:val="22"/>
        </w:rPr>
        <w:t xml:space="preserve">(далее – Товар) </w:t>
      </w:r>
      <w:r>
        <w:rPr>
          <w:sz w:val="22"/>
          <w:szCs w:val="22"/>
        </w:rPr>
        <w:t xml:space="preserve">в ассортименте и по стоимости, согласованной Сторонами в Приложении №2 и подтвержденными товарными накладными унифицированной формы ТОРГ-12, а Покупатель обязуется принять и оплатить поставленный Товар.</w:t>
      </w:r>
      <w:r>
        <w:rPr>
          <w:sz w:val="22"/>
          <w:szCs w:val="22"/>
        </w:rPr>
      </w:r>
      <w:r>
        <w:rPr>
          <w:sz w:val="22"/>
          <w:szCs w:val="22"/>
        </w:rPr>
      </w:r>
    </w:p>
    <w:p>
      <w:pPr>
        <w:numPr>
          <w:ilvl w:val="1"/>
          <w:numId w:val="1"/>
        </w:numPr>
        <w:ind w:left="0" w:right="-24" w:firstLine="567"/>
        <w:jc w:val="both"/>
        <w:widowControl w:val="off"/>
        <w:tabs>
          <w:tab w:val="clear" w:pos="432" w:leader="none"/>
          <w:tab w:val="left" w:pos="993" w:leader="none"/>
        </w:tabs>
        <w:rPr>
          <w:sz w:val="22"/>
          <w:szCs w:val="22"/>
        </w:rPr>
      </w:pPr>
      <w:r>
        <w:rPr>
          <w:sz w:val="22"/>
          <w:szCs w:val="22"/>
        </w:rPr>
        <w:t xml:space="preserve">На момент передачи Товар должен принадлежать Поставщику на праве собственности, не быть заложенным или арестованным, не являться предметом исков третьих лиц, а также быть новым, ранее не использовавшимся и изготовленным не ранее </w:t>
      </w:r>
      <w:r>
        <w:rPr>
          <w:sz w:val="22"/>
          <w:szCs w:val="22"/>
        </w:rPr>
        <w:t xml:space="preserve">ооо климат прибор</w:t>
      </w:r>
      <w:r>
        <w:rPr>
          <w:sz w:val="22"/>
          <w:szCs w:val="22"/>
        </w:rPr>
        <w:t xml:space="preserve">года.</w:t>
      </w:r>
      <w:r>
        <w:rPr>
          <w:sz w:val="22"/>
          <w:szCs w:val="22"/>
        </w:rPr>
      </w:r>
      <w:r>
        <w:rPr>
          <w:sz w:val="22"/>
          <w:szCs w:val="22"/>
        </w:rPr>
      </w:r>
    </w:p>
    <w:p>
      <w:pPr>
        <w:numPr>
          <w:ilvl w:val="1"/>
          <w:numId w:val="1"/>
        </w:numPr>
        <w:ind w:left="0" w:firstLine="567"/>
        <w:jc w:val="both"/>
        <w:tabs>
          <w:tab w:val="clear" w:pos="432" w:leader="none"/>
          <w:tab w:val="left" w:pos="993" w:leader="none"/>
        </w:tabs>
        <w:rPr>
          <w:sz w:val="22"/>
          <w:szCs w:val="22"/>
        </w:rPr>
      </w:pPr>
      <w:r>
        <w:rPr>
          <w:sz w:val="22"/>
          <w:szCs w:val="22"/>
        </w:rPr>
        <w:t xml:space="preserve">Покупатель обязуется принять и оплатить Товар на условиях настоящего Договора.</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ПРАВА И ОБЯЗАННОСТИ СТОРОН</w:t>
      </w:r>
      <w:r>
        <w:rPr>
          <w:b/>
          <w:sz w:val="22"/>
          <w:szCs w:val="22"/>
        </w:rPr>
      </w:r>
      <w:r>
        <w:rPr>
          <w:b/>
          <w:sz w:val="22"/>
          <w:szCs w:val="22"/>
        </w:rPr>
      </w:r>
    </w:p>
    <w:p>
      <w:pPr>
        <w:pStyle w:val="1007"/>
        <w:numPr>
          <w:ilvl w:val="1"/>
          <w:numId w:val="1"/>
        </w:numPr>
        <w:ind w:left="0"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Поставщик обязан:</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а) передать Покупателю Товар, а также его принадлежности в сроки, предусмотренные настоящим Договором;</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б) в случае недопоставки Товара, восполнить недопоставленное количество Товара в течение 2 (Двух) рабочих дней с момента обнаружения недопоставки;</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в) передать Покупателю Товар свободным от любых прав третьих лиц;</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г) подготовить и передать н</w:t>
      </w:r>
      <w:r>
        <w:rPr>
          <w:rFonts w:ascii="Times New Roman" w:hAnsi="Times New Roman" w:cs="Times New Roman"/>
          <w:sz w:val="22"/>
          <w:szCs w:val="22"/>
        </w:rPr>
        <w:t xml:space="preserve">а подпись Покупателю одновременно с передачей Товара, документы, подтверждающие факт поставки Товара, а также документы на русском языке, подтверждающие качество Товара, необходимые для его гарантийного обслуживания, правильной и безопасной эксплуатации:  </w:t>
      </w:r>
      <w:r>
        <w:rPr>
          <w:rFonts w:ascii="Times New Roman" w:hAnsi="Times New Roman" w:cs="Times New Roman"/>
          <w:sz w:val="22"/>
          <w:szCs w:val="22"/>
        </w:rPr>
      </w:r>
      <w:r>
        <w:rPr>
          <w:rFonts w:ascii="Times New Roman" w:hAnsi="Times New Roman" w:cs="Times New Roman"/>
          <w:sz w:val="22"/>
          <w:szCs w:val="22"/>
        </w:rPr>
      </w:r>
    </w:p>
    <w:p>
      <w:pPr>
        <w:pStyle w:val="1007"/>
        <w:ind w:right="261"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 товарные накладные унифицированной формы ТОРГ-12,</w:t>
      </w:r>
      <w:r>
        <w:rPr>
          <w:rFonts w:ascii="Times New Roman" w:hAnsi="Times New Roman" w:cs="Times New Roman"/>
          <w:color w:val="000000"/>
          <w:sz w:val="22"/>
          <w:szCs w:val="22"/>
          <w:lang w:eastAsia="ar-SA"/>
        </w:rPr>
        <w:t xml:space="preserve"> утвержденной Постановлением Госкомстата РФ 25.12.1998 № 132 (далее – Товарная накладная)</w:t>
      </w:r>
      <w:r>
        <w:rPr>
          <w:rFonts w:ascii="Times New Roman" w:hAnsi="Times New Roman" w:cs="Times New Roman"/>
          <w:sz w:val="22"/>
          <w:szCs w:val="22"/>
        </w:rPr>
        <w:t xml:space="preserve">; </w:t>
      </w:r>
      <w:r>
        <w:rPr>
          <w:rFonts w:ascii="Times New Roman" w:hAnsi="Times New Roman" w:cs="Times New Roman"/>
          <w:sz w:val="22"/>
          <w:szCs w:val="22"/>
        </w:rPr>
      </w:r>
      <w:r>
        <w:rPr>
          <w:rFonts w:ascii="Times New Roman" w:hAnsi="Times New Roman" w:cs="Times New Roman"/>
          <w:sz w:val="22"/>
          <w:szCs w:val="22"/>
        </w:rPr>
      </w:r>
    </w:p>
    <w:p>
      <w:pPr>
        <w:pStyle w:val="1007"/>
        <w:ind w:right="261"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 счета-фактуры;</w:t>
      </w:r>
      <w:r>
        <w:rPr>
          <w:rFonts w:ascii="Times New Roman" w:hAnsi="Times New Roman" w:cs="Times New Roman"/>
          <w:sz w:val="22"/>
          <w:szCs w:val="22"/>
        </w:rPr>
      </w:r>
      <w:r>
        <w:rPr>
          <w:rFonts w:ascii="Times New Roman" w:hAnsi="Times New Roman" w:cs="Times New Roman"/>
          <w:sz w:val="22"/>
          <w:szCs w:val="22"/>
        </w:rPr>
      </w:r>
    </w:p>
    <w:p>
      <w:pPr>
        <w:pStyle w:val="1007"/>
        <w:ind w:right="261" w:firstLine="567"/>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 сертификаты завода-изготовителя (в случае если наличие таких документов предусмотрено законодательством РФ в обязательном порядке); </w:t>
      </w:r>
      <w:r>
        <w:rPr>
          <w:rFonts w:ascii="Times New Roman" w:hAnsi="Times New Roman" w:cs="Times New Roman"/>
          <w:sz w:val="22"/>
          <w:szCs w:val="22"/>
        </w:rPr>
      </w:r>
      <w:r>
        <w:rPr>
          <w:rFonts w:ascii="Times New Roman" w:hAnsi="Times New Roman" w:cs="Times New Roman"/>
          <w:sz w:val="22"/>
          <w:szCs w:val="22"/>
        </w:rPr>
      </w:r>
    </w:p>
    <w:p>
      <w:pPr>
        <w:pStyle w:val="1007"/>
        <w:ind w:right="261"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 инструкции по эксплуатации; </w:t>
      </w:r>
      <w:r>
        <w:rPr>
          <w:rFonts w:ascii="Times New Roman" w:hAnsi="Times New Roman" w:cs="Times New Roman"/>
          <w:sz w:val="22"/>
          <w:szCs w:val="22"/>
        </w:rPr>
      </w:r>
      <w:r>
        <w:rPr>
          <w:rFonts w:ascii="Times New Roman" w:hAnsi="Times New Roman" w:cs="Times New Roman"/>
          <w:sz w:val="22"/>
          <w:szCs w:val="22"/>
        </w:rPr>
      </w:r>
    </w:p>
    <w:p>
      <w:pPr>
        <w:pStyle w:val="1007"/>
        <w:ind w:right="261"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 гарантийные талоны;</w:t>
      </w:r>
      <w:r>
        <w:rPr>
          <w:rFonts w:ascii="Times New Roman" w:hAnsi="Times New Roman" w:cs="Times New Roman"/>
          <w:sz w:val="22"/>
          <w:szCs w:val="22"/>
        </w:rPr>
      </w:r>
      <w:r>
        <w:rPr>
          <w:rFonts w:ascii="Times New Roman" w:hAnsi="Times New Roman" w:cs="Times New Roman"/>
          <w:sz w:val="22"/>
          <w:szCs w:val="22"/>
        </w:rPr>
      </w:r>
    </w:p>
    <w:p>
      <w:pPr>
        <w:pStyle w:val="1007"/>
        <w:ind w:right="261"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 прочие относящиеся к Товару документы.</w:t>
      </w:r>
      <w:r>
        <w:rPr>
          <w:rFonts w:ascii="Times New Roman" w:hAnsi="Times New Roman" w:cs="Times New Roman"/>
          <w:sz w:val="22"/>
          <w:szCs w:val="22"/>
        </w:rPr>
      </w:r>
      <w:r>
        <w:rPr>
          <w:rFonts w:ascii="Times New Roman" w:hAnsi="Times New Roman" w:cs="Times New Roman"/>
          <w:sz w:val="22"/>
          <w:szCs w:val="22"/>
        </w:rPr>
      </w:r>
    </w:p>
    <w:p>
      <w:pPr>
        <w:pStyle w:val="1001"/>
        <w:ind w:right="-24" w:firstLine="567"/>
        <w:jc w:val="both"/>
        <w:widowControl w:val="off"/>
        <w:tabs>
          <w:tab w:val="num" w:pos="567" w:leader="none"/>
          <w:tab w:val="left" w:pos="993" w:leader="none"/>
        </w:tabs>
        <w:rPr>
          <w:sz w:val="22"/>
          <w:szCs w:val="22"/>
        </w:rPr>
      </w:pPr>
      <w:r>
        <w:rPr>
          <w:sz w:val="22"/>
          <w:szCs w:val="22"/>
        </w:rPr>
        <w:t xml:space="preserve">д) получать письменное согласие Покупателя на уступку, передачу, перепоручение обязанностей Поставщика по настоящему Договору.</w:t>
      </w:r>
      <w:r>
        <w:rPr>
          <w:sz w:val="22"/>
          <w:szCs w:val="22"/>
        </w:rPr>
      </w:r>
      <w:r>
        <w:rPr>
          <w:sz w:val="22"/>
          <w:szCs w:val="22"/>
        </w:rPr>
      </w:r>
    </w:p>
    <w:p>
      <w:pPr>
        <w:pStyle w:val="1007"/>
        <w:numPr>
          <w:ilvl w:val="1"/>
          <w:numId w:val="1"/>
        </w:numPr>
        <w:ind w:left="0"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Поставщик вправе:</w:t>
      </w:r>
      <w:r>
        <w:rPr>
          <w:rFonts w:ascii="Times New Roman" w:hAnsi="Times New Roman" w:cs="Times New Roman"/>
          <w:sz w:val="22"/>
          <w:szCs w:val="22"/>
        </w:rPr>
      </w:r>
      <w:r>
        <w:rPr>
          <w:rFonts w:ascii="Times New Roman" w:hAnsi="Times New Roman" w:cs="Times New Roman"/>
          <w:sz w:val="22"/>
          <w:szCs w:val="22"/>
        </w:rPr>
      </w:r>
    </w:p>
    <w:p>
      <w:pPr>
        <w:pStyle w:val="1001"/>
        <w:ind w:right="-24" w:firstLine="567"/>
        <w:jc w:val="both"/>
        <w:widowControl w:val="off"/>
        <w:tabs>
          <w:tab w:val="left" w:pos="993" w:leader="none"/>
        </w:tabs>
        <w:rPr>
          <w:sz w:val="22"/>
          <w:szCs w:val="22"/>
        </w:rPr>
      </w:pPr>
      <w:r>
        <w:rPr>
          <w:sz w:val="22"/>
          <w:szCs w:val="22"/>
        </w:rPr>
        <w:t xml:space="preserve">а) в случае просрочки в принятии Товара со стороны Покупателя (по вине Покупателя) более чем на 10 (десять) рабочих дней, требовать от Покупателя возмещения расходов на обеспечение сохранности Товара на период просрочки в его принятии.</w:t>
      </w:r>
      <w:r>
        <w:rPr>
          <w:sz w:val="22"/>
          <w:szCs w:val="22"/>
        </w:rPr>
      </w:r>
      <w:r>
        <w:rPr>
          <w:sz w:val="22"/>
          <w:szCs w:val="22"/>
        </w:rPr>
      </w:r>
    </w:p>
    <w:p>
      <w:pPr>
        <w:pStyle w:val="1007"/>
        <w:numPr>
          <w:ilvl w:val="1"/>
          <w:numId w:val="1"/>
        </w:numPr>
        <w:ind w:left="0"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Покупатель обязан:</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а) принять Товар в порядке и в сроки, предусмотренные настоящим Договором;</w:t>
      </w:r>
      <w:r>
        <w:rPr>
          <w:rFonts w:ascii="Times New Roman" w:hAnsi="Times New Roman" w:cs="Times New Roman"/>
          <w:sz w:val="22"/>
          <w:szCs w:val="22"/>
        </w:rPr>
      </w:r>
      <w:r>
        <w:rPr>
          <w:rFonts w:ascii="Times New Roman" w:hAnsi="Times New Roman" w:cs="Times New Roman"/>
          <w:sz w:val="22"/>
          <w:szCs w:val="22"/>
        </w:rPr>
      </w:r>
    </w:p>
    <w:p>
      <w:pPr>
        <w:ind w:right="-24" w:firstLine="567"/>
        <w:jc w:val="both"/>
        <w:widowControl w:val="off"/>
        <w:tabs>
          <w:tab w:val="left" w:pos="993" w:leader="none"/>
        </w:tabs>
        <w:rPr>
          <w:sz w:val="22"/>
          <w:szCs w:val="22"/>
        </w:rPr>
      </w:pPr>
      <w:r>
        <w:rPr>
          <w:sz w:val="22"/>
          <w:szCs w:val="22"/>
        </w:rPr>
        <w:t xml:space="preserve">б) оплатить Товар в сроки, предусмотренные настоящим Договором.</w:t>
      </w:r>
      <w:r>
        <w:rPr>
          <w:sz w:val="22"/>
          <w:szCs w:val="22"/>
        </w:rPr>
      </w:r>
      <w:r>
        <w:rPr>
          <w:sz w:val="22"/>
          <w:szCs w:val="22"/>
        </w:rPr>
      </w:r>
    </w:p>
    <w:p>
      <w:pPr>
        <w:pStyle w:val="1007"/>
        <w:numPr>
          <w:ilvl w:val="1"/>
          <w:numId w:val="1"/>
        </w:numPr>
        <w:ind w:left="0" w:right="-24" w:firstLine="567"/>
        <w:jc w:val="both"/>
        <w:widowControl w:val="off"/>
        <w:tabs>
          <w:tab w:val="left" w:pos="993" w:leader="none"/>
          <w:tab w:val="left" w:pos="9899" w:leader="none"/>
        </w:tabs>
        <w:rPr>
          <w:rFonts w:ascii="Times New Roman" w:hAnsi="Times New Roman" w:cs="Times New Roman"/>
          <w:sz w:val="22"/>
          <w:szCs w:val="22"/>
        </w:rPr>
      </w:pPr>
      <w:r>
        <w:rPr>
          <w:rFonts w:ascii="Times New Roman" w:hAnsi="Times New Roman" w:cs="Times New Roman"/>
          <w:sz w:val="22"/>
          <w:szCs w:val="22"/>
        </w:rPr>
        <w:t xml:space="preserve">Покупатель вправе:</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а) уведомив Поставщика, отказаться от принятия Товара, поставка которого (либо относящихся к нему принадлежностей и документов) просрочена;</w:t>
      </w:r>
      <w:r>
        <w:rPr>
          <w:rFonts w:ascii="Times New Roman" w:hAnsi="Times New Roman" w:cs="Times New Roman"/>
          <w:sz w:val="22"/>
          <w:szCs w:val="22"/>
        </w:rPr>
      </w:r>
      <w:r>
        <w:rPr>
          <w:rFonts w:ascii="Times New Roman" w:hAnsi="Times New Roman" w:cs="Times New Roman"/>
          <w:sz w:val="22"/>
          <w:szCs w:val="22"/>
        </w:rPr>
      </w:r>
    </w:p>
    <w:p>
      <w:pPr>
        <w:pStyle w:val="1007"/>
        <w:ind w:right="-24" w:firstLine="567"/>
        <w:jc w:val="both"/>
        <w:widowControl w:val="off"/>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б) отказаться от оплаты Товара ненадлежащего качества, а если такой Товар оплачен, потребовать возврата уплаченных сумм.</w:t>
      </w:r>
      <w:r>
        <w:rPr>
          <w:rFonts w:ascii="Times New Roman" w:hAnsi="Times New Roman" w:cs="Times New Roman"/>
          <w:sz w:val="22"/>
          <w:szCs w:val="22"/>
        </w:rPr>
      </w:r>
      <w:r>
        <w:rPr>
          <w:rFonts w:ascii="Times New Roman" w:hAnsi="Times New Roman" w:cs="Times New Roman"/>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ЦЕНА ДОГОВОРА И ПОРЯДОК РАСЧЕТОВ</w:t>
      </w:r>
      <w:r>
        <w:rPr>
          <w:b/>
          <w:sz w:val="22"/>
          <w:szCs w:val="22"/>
        </w:rPr>
      </w:r>
      <w:r>
        <w:rPr>
          <w:b/>
          <w:sz w:val="22"/>
          <w:szCs w:val="22"/>
        </w:rPr>
      </w:r>
    </w:p>
    <w:p>
      <w:pPr>
        <w:numPr>
          <w:ilvl w:val="1"/>
          <w:numId w:val="1"/>
        </w:numPr>
        <w:ind w:left="0" w:firstLine="567"/>
        <w:jc w:val="both"/>
        <w:tabs>
          <w:tab w:val="num" w:pos="0" w:leader="none"/>
          <w:tab w:val="clear" w:pos="432" w:leader="none"/>
          <w:tab w:val="num" w:pos="720" w:leader="none"/>
          <w:tab w:val="left" w:pos="993" w:leader="none"/>
        </w:tabs>
        <w:rPr>
          <w:sz w:val="22"/>
          <w:szCs w:val="22"/>
        </w:rPr>
      </w:pPr>
      <w:r>
        <w:rPr>
          <w:sz w:val="22"/>
          <w:szCs w:val="22"/>
        </w:rPr>
        <w:t xml:space="preserve">Договорная цена составляет ________________________</w:t>
      </w:r>
      <w:r>
        <w:rPr>
          <w:sz w:val="22"/>
          <w:szCs w:val="22"/>
        </w:rPr>
        <w:t xml:space="preserve">______. Стоимость поставляемого Товара определяется в рублях с учетом налога на добавленную стоимость. Стоимость и перечень поставляемого Товара указывается в Спецификации (Приложение №2) и подтверждается товарными накладными унифицированной формы ТОРГ-12.</w:t>
      </w:r>
      <w:r>
        <w:rPr>
          <w:sz w:val="22"/>
          <w:szCs w:val="22"/>
        </w:rPr>
      </w:r>
      <w:r>
        <w:rPr>
          <w:sz w:val="22"/>
          <w:szCs w:val="22"/>
        </w:rPr>
      </w:r>
    </w:p>
    <w:p>
      <w:pPr>
        <w:numPr>
          <w:ilvl w:val="1"/>
          <w:numId w:val="1"/>
        </w:numPr>
        <w:ind w:left="0" w:firstLine="567"/>
        <w:jc w:val="both"/>
        <w:tabs>
          <w:tab w:val="num" w:pos="0" w:leader="none"/>
          <w:tab w:val="clear" w:pos="432" w:leader="none"/>
          <w:tab w:val="num" w:pos="720" w:leader="none"/>
          <w:tab w:val="left" w:pos="993" w:leader="none"/>
        </w:tabs>
        <w:rPr>
          <w:sz w:val="22"/>
          <w:szCs w:val="22"/>
        </w:rPr>
      </w:pPr>
      <w:r>
        <w:rPr>
          <w:sz w:val="22"/>
          <w:szCs w:val="22"/>
        </w:rPr>
        <w:t xml:space="preserve">Стоимость доставки Тов</w:t>
      </w:r>
      <w:r>
        <w:rPr>
          <w:sz w:val="22"/>
          <w:szCs w:val="22"/>
        </w:rPr>
        <w:t xml:space="preserve">ара на склад Покупателя по адресу, указанному в п. 5.1 настоящего Договора, его разгрузки входит в стоимость Товара и осуществляется Поставщиком без дополнительной оплаты со стороны Покупателя. Стоимость тары и упаковки Товара включена в стоимость Товара. </w:t>
      </w:r>
      <w:r>
        <w:rPr>
          <w:sz w:val="22"/>
          <w:szCs w:val="22"/>
        </w:rPr>
      </w:r>
      <w:r>
        <w:rPr>
          <w:sz w:val="22"/>
          <w:szCs w:val="22"/>
        </w:rPr>
      </w:r>
    </w:p>
    <w:p>
      <w:pPr>
        <w:numPr>
          <w:ilvl w:val="1"/>
          <w:numId w:val="1"/>
        </w:numPr>
        <w:ind w:left="0" w:firstLine="567"/>
        <w:jc w:val="both"/>
        <w:tabs>
          <w:tab w:val="num" w:pos="0" w:leader="none"/>
          <w:tab w:val="clear" w:pos="432" w:leader="none"/>
          <w:tab w:val="num" w:pos="720" w:leader="none"/>
          <w:tab w:val="left" w:pos="993" w:leader="none"/>
        </w:tabs>
        <w:rPr>
          <w:sz w:val="22"/>
          <w:szCs w:val="22"/>
        </w:rPr>
      </w:pPr>
      <w:r>
        <w:rPr>
          <w:sz w:val="22"/>
          <w:szCs w:val="22"/>
        </w:rPr>
        <w:t xml:space="preserve">Оплата стоимости Товара осуществляется Покупателем путем безналичного перечисления денежных средств на расчетный счет Поставщика, указанный в настоящем Договоре, в следующем порядке: </w:t>
      </w:r>
      <w:r>
        <w:rPr>
          <w:sz w:val="22"/>
          <w:szCs w:val="22"/>
        </w:rPr>
      </w:r>
      <w:r>
        <w:rPr>
          <w:sz w:val="22"/>
          <w:szCs w:val="22"/>
        </w:rPr>
      </w:r>
    </w:p>
    <w:p>
      <w:pPr>
        <w:pStyle w:val="1016"/>
        <w:numPr>
          <w:ilvl w:val="2"/>
          <w:numId w:val="1"/>
        </w:numPr>
        <w:ind w:left="0" w:firstLine="567"/>
        <w:jc w:val="both"/>
        <w:tabs>
          <w:tab w:val="num" w:pos="0" w:leader="none"/>
          <w:tab w:val="left" w:pos="1134" w:leader="none"/>
          <w:tab w:val="clear" w:pos="1440" w:leader="none"/>
        </w:tabs>
        <w:rPr>
          <w:sz w:val="22"/>
          <w:szCs w:val="22"/>
        </w:rPr>
      </w:pPr>
      <w:r>
        <w:rPr>
          <w:sz w:val="22"/>
          <w:szCs w:val="22"/>
        </w:rPr>
        <w:t xml:space="preserve">Расчет в размере 100% от общей стоимости Договора</w:t>
      </w:r>
      <w:r>
        <w:rPr>
          <w:sz w:val="22"/>
          <w:szCs w:val="22"/>
        </w:rPr>
        <w:t xml:space="preserve"> осуществляется после получения Товара в течение 60 (шестидесяти) календарных дней с даты подписания Покупателем товарной накладной на основании выставленных Поставщиком оригиналов счета, счета-фактуры и документов, подтверждающих факт поставки Товара (</w:t>
      </w:r>
      <w:r>
        <w:rPr>
          <w:sz w:val="22"/>
          <w:szCs w:val="22"/>
        </w:rPr>
        <w:t xml:space="preserve">пп</w:t>
      </w:r>
      <w:r>
        <w:rPr>
          <w:sz w:val="22"/>
          <w:szCs w:val="22"/>
        </w:rPr>
        <w:t xml:space="preserve">. «г» п. 2.1 Договора).</w:t>
      </w:r>
      <w:r>
        <w:rPr>
          <w:sz w:val="22"/>
          <w:szCs w:val="22"/>
        </w:rPr>
      </w:r>
      <w:r>
        <w:rPr>
          <w:sz w:val="22"/>
          <w:szCs w:val="22"/>
        </w:rPr>
      </w:r>
    </w:p>
    <w:p>
      <w:pPr>
        <w:pStyle w:val="1001"/>
        <w:numPr>
          <w:ilvl w:val="1"/>
          <w:numId w:val="1"/>
        </w:numPr>
        <w:ind w:left="0" w:right="-24" w:firstLine="567"/>
        <w:jc w:val="both"/>
        <w:widowControl w:val="off"/>
        <w:tabs>
          <w:tab w:val="num" w:pos="0" w:leader="none"/>
          <w:tab w:val="left" w:pos="1134" w:leader="none"/>
        </w:tabs>
        <w:rPr>
          <w:sz w:val="22"/>
          <w:szCs w:val="22"/>
        </w:rPr>
      </w:pPr>
      <w:r>
        <w:rPr>
          <w:sz w:val="22"/>
          <w:szCs w:val="22"/>
        </w:rPr>
        <w:t xml:space="preserve">Датой оплаты считается дата списания денежных средств с расчетного счета Покупателя.</w:t>
      </w:r>
      <w:r>
        <w:rPr>
          <w:sz w:val="22"/>
          <w:szCs w:val="22"/>
        </w:rPr>
      </w:r>
      <w:r>
        <w:rPr>
          <w:sz w:val="22"/>
          <w:szCs w:val="22"/>
        </w:rPr>
      </w:r>
    </w:p>
    <w:p>
      <w:pPr>
        <w:numPr>
          <w:ilvl w:val="1"/>
          <w:numId w:val="1"/>
        </w:numPr>
        <w:ind w:left="0" w:right="-24" w:firstLine="567"/>
        <w:jc w:val="both"/>
        <w:widowControl w:val="off"/>
        <w:tabs>
          <w:tab w:val="num" w:pos="0" w:leader="none"/>
          <w:tab w:val="left" w:pos="1134" w:leader="none"/>
        </w:tabs>
        <w:rPr>
          <w:sz w:val="22"/>
          <w:szCs w:val="22"/>
        </w:rPr>
      </w:pPr>
      <w:r>
        <w:rPr>
          <w:sz w:val="22"/>
          <w:szCs w:val="22"/>
        </w:rPr>
        <w:t xml:space="preserve">Поставщик в течение всего периода действия Договора не позднее 5 числа месяца, следующего за каждым отчетным кварталом, направляет в адрес Покупателя оформленный со своей сторон</w:t>
      </w:r>
      <w:r>
        <w:rPr>
          <w:sz w:val="22"/>
          <w:szCs w:val="22"/>
        </w:rPr>
        <w:t xml:space="preserve">ы акт сверки расчетов.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 </w:t>
      </w:r>
      <w:r>
        <w:rPr>
          <w:sz w:val="22"/>
          <w:szCs w:val="22"/>
        </w:rPr>
      </w:r>
      <w:r>
        <w:rPr>
          <w:sz w:val="22"/>
          <w:szCs w:val="22"/>
        </w:rPr>
      </w:r>
    </w:p>
    <w:p>
      <w:pPr>
        <w:ind w:firstLine="567"/>
        <w:jc w:val="both"/>
        <w:tabs>
          <w:tab w:val="num" w:pos="0" w:leader="none"/>
        </w:tabs>
        <w:rPr>
          <w:sz w:val="22"/>
          <w:szCs w:val="22"/>
        </w:rPr>
      </w:pPr>
      <w:r>
        <w:rPr>
          <w:sz w:val="22"/>
          <w:szCs w:val="22"/>
        </w:rPr>
        <w:t xml:space="preserve">В течение 10 календарных дней с даты, наступившей позднее из нижеуказанных:</w:t>
      </w:r>
      <w:r>
        <w:rPr>
          <w:sz w:val="22"/>
          <w:szCs w:val="22"/>
        </w:rPr>
      </w:r>
      <w:r>
        <w:rPr>
          <w:sz w:val="22"/>
          <w:szCs w:val="22"/>
        </w:rPr>
      </w:r>
    </w:p>
    <w:p>
      <w:pPr>
        <w:ind w:firstLine="567"/>
        <w:jc w:val="both"/>
        <w:tabs>
          <w:tab w:val="num" w:pos="0" w:leader="none"/>
        </w:tabs>
        <w:rPr>
          <w:sz w:val="22"/>
          <w:szCs w:val="22"/>
        </w:rPr>
      </w:pPr>
      <w:r>
        <w:rPr>
          <w:sz w:val="22"/>
          <w:szCs w:val="22"/>
        </w:rPr>
        <w:t xml:space="preserve">- дата завершения всех поставок Товара по Договору;</w:t>
      </w:r>
      <w:r>
        <w:rPr>
          <w:sz w:val="22"/>
          <w:szCs w:val="22"/>
        </w:rPr>
      </w:r>
      <w:r>
        <w:rPr>
          <w:sz w:val="22"/>
          <w:szCs w:val="22"/>
        </w:rPr>
      </w:r>
    </w:p>
    <w:p>
      <w:pPr>
        <w:ind w:firstLine="567"/>
        <w:jc w:val="both"/>
        <w:tabs>
          <w:tab w:val="num" w:pos="0" w:leader="none"/>
        </w:tabs>
        <w:rPr>
          <w:sz w:val="22"/>
          <w:szCs w:val="22"/>
        </w:rPr>
      </w:pPr>
      <w:r>
        <w:rPr>
          <w:sz w:val="22"/>
          <w:szCs w:val="22"/>
        </w:rPr>
        <w:t xml:space="preserve">- дата совершения Покупателем последнего платежа после завершения всех поставок Товара;</w:t>
      </w:r>
      <w:r>
        <w:rPr>
          <w:sz w:val="22"/>
          <w:szCs w:val="22"/>
        </w:rPr>
      </w:r>
      <w:r>
        <w:rPr>
          <w:sz w:val="22"/>
          <w:szCs w:val="22"/>
        </w:rPr>
      </w:r>
    </w:p>
    <w:p>
      <w:pPr>
        <w:ind w:firstLine="567"/>
        <w:jc w:val="both"/>
        <w:tabs>
          <w:tab w:val="num" w:pos="0" w:leader="none"/>
        </w:tabs>
        <w:rPr>
          <w:sz w:val="22"/>
          <w:szCs w:val="22"/>
        </w:rPr>
      </w:pPr>
      <w:r>
        <w:rPr>
          <w:sz w:val="22"/>
          <w:szCs w:val="22"/>
        </w:rPr>
        <w:t xml:space="preserve">Поставщик направляет Покупателю оформленный со своей стороны акт сверки расчетов. Подписание итогового акта сверки в этом случае осуществляется в порядке, установленном настоящим пунктом выше.</w:t>
      </w:r>
      <w:r>
        <w:rPr>
          <w:sz w:val="22"/>
          <w:szCs w:val="22"/>
        </w:rPr>
      </w:r>
      <w:r>
        <w:rPr>
          <w:sz w:val="22"/>
          <w:szCs w:val="22"/>
        </w:rPr>
      </w:r>
    </w:p>
    <w:p>
      <w:pPr>
        <w:pStyle w:val="1001"/>
        <w:numPr>
          <w:ilvl w:val="1"/>
          <w:numId w:val="1"/>
        </w:numPr>
        <w:ind w:left="0" w:right="-24" w:firstLine="567"/>
        <w:jc w:val="both"/>
        <w:widowControl w:val="off"/>
        <w:tabs>
          <w:tab w:val="num" w:pos="0" w:leader="none"/>
          <w:tab w:val="left" w:pos="1134" w:leader="none"/>
        </w:tabs>
        <w:rPr>
          <w:sz w:val="22"/>
          <w:szCs w:val="22"/>
        </w:rPr>
      </w:pPr>
      <w:r>
        <w:rPr>
          <w:sz w:val="22"/>
          <w:szCs w:val="22"/>
        </w:rPr>
        <w:t xml:space="preserve">Документы, подтверждающие факт поставки Товара, должны быть оформлены на имя Покупателя. В случае </w:t>
      </w:r>
      <w:r>
        <w:rPr>
          <w:sz w:val="22"/>
          <w:szCs w:val="22"/>
        </w:rPr>
        <w:t xml:space="preserve">не представления</w:t>
      </w:r>
      <w:r>
        <w:rPr>
          <w:sz w:val="22"/>
          <w:szCs w:val="22"/>
        </w:rPr>
        <w:t xml:space="preserve"> необходимых документов Покупатель</w:t>
      </w:r>
      <w:r>
        <w:rPr>
          <w:sz w:val="22"/>
          <w:szCs w:val="22"/>
        </w:rPr>
        <w:t xml:space="preserve"> уведомляет об этом Поставщика. Поставщик обязан в течение 3 (трех) календарных дней с момента получения данного уведомления Покупателя, но не позднее 3-го числа месяца, следующего за месяцем, в котором была поставлен Товар, представить недостающи</w:t>
      </w:r>
      <w:r>
        <w:rPr>
          <w:sz w:val="22"/>
          <w:szCs w:val="22"/>
        </w:rPr>
        <w:t xml:space="preserve">е копии документов Покупателю, что не освобождает Поставщика от ответственности, предусмотренной в пункте 8.6 Договора. В случае наличия ошибок и иных неточностей в указанных копиях документов Покупатель уведомляет об этом Поставщика в течение 2 (двух) кал</w:t>
      </w:r>
      <w:r>
        <w:rPr>
          <w:sz w:val="22"/>
          <w:szCs w:val="22"/>
        </w:rPr>
        <w:t xml:space="preserve">ендарных дней с даты получения от Поставщика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w:t>
      </w:r>
      <w:r>
        <w:rPr>
          <w:sz w:val="22"/>
          <w:szCs w:val="22"/>
        </w:rPr>
        <w:t xml:space="preserve">дарных дней с момента получения данного уведомления от Покупателя устранить ошибки и иные неточности в таких документах и представить исправленные документы Покупателю, что не освобождает Поставщика от ответственности, предусмотренной пунктом 8.6 Договора.</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КАЧЕСТВО ТОВАРА, ТРЕБОВАНИЯ К ТАРЕ И УПАКОВКЕ</w:t>
      </w:r>
      <w:r>
        <w:rPr>
          <w:b/>
          <w:sz w:val="22"/>
          <w:szCs w:val="22"/>
        </w:rPr>
      </w:r>
      <w:r>
        <w:rPr>
          <w:b/>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Поставщик гарантирует Покупателю соответствие качества поставляемого им Товара техническим условиям завода-изготовителя Товара, </w:t>
      </w:r>
      <w:r>
        <w:rPr>
          <w:color w:val="000000"/>
          <w:sz w:val="22"/>
          <w:szCs w:val="22"/>
        </w:rPr>
        <w:t xml:space="preserve">а также иным требованиям, установленным законодательством Российской Федерации в отношении Товара подобного вида</w:t>
      </w:r>
      <w:r>
        <w:rPr>
          <w:sz w:val="22"/>
          <w:szCs w:val="22"/>
        </w:rPr>
        <w:t xml:space="preserve">. </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Товар должен отгружаться в таре и упако</w:t>
      </w:r>
      <w:r>
        <w:rPr>
          <w:sz w:val="22"/>
          <w:szCs w:val="22"/>
        </w:rPr>
        <w:t xml:space="preserve">вке, соответствующим характеру поставляемого Товара, обеспечивающими при надлежащем обращении с грузом его сохранность при длительной транспортировке, с учётом возможной его перевозки смешанным транспортом, а также при наличии нескольких перегрузок в пути.</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Товар подлежит маркировке в соответствии с требованиями стандартов и технических условий. </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СРОКИ, ПОРЯДОК И УСЛОВИЯ ПОСТАВКИ</w:t>
      </w:r>
      <w:r>
        <w:rPr>
          <w:b/>
          <w:sz w:val="22"/>
          <w:szCs w:val="22"/>
        </w:rPr>
      </w:r>
      <w:r>
        <w:rPr>
          <w:b/>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Поставка Товара осуществляется Поставщиком на склад Покупателя, расположенный по адресу: </w:t>
      </w:r>
      <w:r>
        <w:rPr>
          <w:b/>
          <w:sz w:val="22"/>
          <w:szCs w:val="22"/>
        </w:rPr>
        <w:t xml:space="preserve">Алтайский край, г. Барнаул, улица 80 Гвардейской Дивизии, 37, стр.1. </w:t>
      </w:r>
      <w:r>
        <w:rPr>
          <w:sz w:val="22"/>
          <w:szCs w:val="22"/>
        </w:rPr>
        <w:t xml:space="preserve">в срок до </w:t>
      </w:r>
      <w:r>
        <w:rPr>
          <w:sz w:val="22"/>
          <w:szCs w:val="22"/>
        </w:rPr>
        <w:t xml:space="preserve">________________ г.</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Поставщик не позднее, чем за 2 (два) рабочих дня до момента передачи Товара должен уведомить Покупателя о готовности Товара к передаче. Досрочная поставка Товара может производиться только с согласия </w:t>
      </w:r>
      <w:r>
        <w:rPr>
          <w:sz w:val="22"/>
          <w:szCs w:val="22"/>
        </w:rPr>
        <w:t xml:space="preserve">Покупателя.</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Покупатель обязан обеспечить возможность достав</w:t>
      </w:r>
      <w:r>
        <w:rPr>
          <w:sz w:val="22"/>
          <w:szCs w:val="22"/>
        </w:rPr>
        <w:t xml:space="preserve">ки Товара путем организации беспрепятственного прохода (при необходимости проезда) Поставщика на территорию доставки Товара, своевременного оформления необходимых документов для соблюдения пропускного режима на территории доставки Товара, погрузочно-разгру</w:t>
      </w:r>
      <w:r>
        <w:rPr>
          <w:sz w:val="22"/>
          <w:szCs w:val="22"/>
        </w:rPr>
        <w:t xml:space="preserve">зочных или разрешительных документов, а равно совершения иных действий, необходимых для принятия Товара. В случае нарушения Покупателем данной обязанности, повлекшей нарушение срока поставки, поставка Товара будет считаться просроченной по вине Покупателя.</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Разгрузка на складе Покупателя осуществляется силами Поставщика и с использованием грузоподъемных и такелажных средств и приспособлений Поставщика. Стоимость доставки и разгрузки входит в цену Товара.</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Право собственности на Товар и все риски, связанные с ним, переходят к Покупателю с момента фактического принятия Товара Покупателем и подписания Сторонами товарной накладной.</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В день доставки Товара приемка Товара Покупателем осуществляется по количеству, внешнему виду Товара, целостности упаковки и ассортименту. В случае обнаружен</w:t>
      </w:r>
      <w:r>
        <w:rPr>
          <w:sz w:val="22"/>
          <w:szCs w:val="22"/>
        </w:rPr>
        <w:t xml:space="preserve">ия недостатков, Покупатель имеет право отказаться от приемки Товара, а Поставщик обязуется заменить Товар в течение суток или в срок по договоренности в случае отсутствия на складе. В данном случае составляется акт о наличии брака с описанием недостатков. </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Если заводом-изготовит</w:t>
      </w:r>
      <w:r>
        <w:rPr>
          <w:sz w:val="22"/>
          <w:szCs w:val="22"/>
        </w:rPr>
        <w:t xml:space="preserve">елем Товара предусмотрены пуско-наладка и ввод в эксплуатацию Товара, то они выполняются силами Поставщика либо привлеченного им подрядчика по согласованию с Покупателем в рабочее время Покупателя и не позднее 3 (трех) рабочих дней от даты поставки Товара.</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Проверка Товара по качеству работы должна быть произведена Покупателем не позднее 10 (Десяти) рабочих дней со дня фактической приемки Товара или не позднее 10 (десяти) рабочих дней со дня пуско-наладки и ввода в эксплуатацию Товара.</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В случаях, когда Покупатель в нарушение законодательства Российской Федерации или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В случае выявления несоответствия принятого Товара условиям Договора Покупатель </w:t>
      </w:r>
      <w:r>
        <w:rPr>
          <w:sz w:val="22"/>
          <w:szCs w:val="22"/>
        </w:rPr>
        <w:t xml:space="preserve">уведомляет об этом Поставщика в срок, не превышающий 10 (Десять) рабочих дней с момента выявления такого несоответствия, при этом последний обязан в течение 5 (Пяти) рабочих дней с момента получения уведомления устранить выявленные недостатки за свой счет.</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СРОК ДЕЙСТВИЯ ДОГОВОРА</w:t>
      </w:r>
      <w:r>
        <w:rPr>
          <w:b/>
          <w:sz w:val="22"/>
          <w:szCs w:val="22"/>
        </w:rPr>
      </w:r>
      <w:r>
        <w:rPr>
          <w:b/>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Договор вступает в силу с момента его подписания и действует в течение 1 (Одного) года, а в части расчетов и других обязательств – до полного их выполнения.  </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Прекращение (окончание срока) действия Договора не освобождает Стороны от ответственности за нарушения, если таковые имели место при исполнении условий Договора, а также от выполнения гарантийных обязательств.</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ГАРАНТИЙНЫЙ СРОК</w:t>
      </w:r>
      <w:r>
        <w:rPr>
          <w:b/>
          <w:sz w:val="22"/>
          <w:szCs w:val="22"/>
        </w:rPr>
      </w:r>
      <w:r>
        <w:rPr>
          <w:b/>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На Товар устанавливается гарантийный срок, равный сроку, установленному заводом-изготовителем Товара, но </w:t>
      </w:r>
      <w:r>
        <w:rPr>
          <w:sz w:val="22"/>
          <w:szCs w:val="22"/>
        </w:rPr>
        <w:t xml:space="preserve">не менее</w:t>
      </w:r>
      <w:r>
        <w:rPr>
          <w:sz w:val="22"/>
          <w:szCs w:val="22"/>
          <w:highlight w:val="none"/>
        </w:rPr>
        <w:t xml:space="preserve"> </w:t>
      </w:r>
      <w:r>
        <w:rPr>
          <w:sz w:val="22"/>
          <w:szCs w:val="22"/>
          <w:highlight w:val="none"/>
        </w:rPr>
        <w:t xml:space="preserve">12 (двенадцати) </w:t>
      </w:r>
      <w:r>
        <w:rPr>
          <w:sz w:val="22"/>
          <w:szCs w:val="22"/>
          <w:highlight w:val="none"/>
        </w:rPr>
        <w:t xml:space="preserve">м</w:t>
      </w:r>
      <w:r>
        <w:rPr>
          <w:sz w:val="22"/>
          <w:szCs w:val="22"/>
        </w:rPr>
        <w:t xml:space="preserve">есяцев</w:t>
      </w:r>
      <w:r>
        <w:rPr>
          <w:sz w:val="22"/>
          <w:szCs w:val="22"/>
        </w:rPr>
        <w:t xml:space="preserve">. Гарантийный срок исчисляется с даты принятия Товара Покупателем с подписанием Товарной накладной.</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В течение гарантийного срока Поставщик гарантирует исправную и полнофункциональную работу Товара в соответствии с техническими требованиями и сертификатами завода-изготовителя к нему, а также в</w:t>
      </w:r>
      <w:r>
        <w:rPr>
          <w:sz w:val="22"/>
          <w:szCs w:val="22"/>
        </w:rPr>
        <w:t xml:space="preserve">озможность его использования по назначению. В течение гарантийного срока Поставщик обеспечит Покупателя телефонными консультациями технических специалистов по использованию и поддержке Товара. Стоимость данной услуги Поставщика включена в стоимость Товара.</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В случае выхода Товара из строя в течение гарантийного срока Поставщик обязуется обеспечить выезд технического специалист</w:t>
      </w:r>
      <w:r>
        <w:rPr>
          <w:sz w:val="22"/>
          <w:szCs w:val="22"/>
        </w:rPr>
        <w:t xml:space="preserve">а к Заказчику в течение 3 (Трех) рабочих дней, безвозмездно произвести диагностику, а также ремонт или замену неисправного Товара на территории Покупателя, а в случае невозможности устранения неисправности на месте – доставку в сервисный центр и обратно за</w:t>
      </w:r>
      <w:r>
        <w:rPr>
          <w:sz w:val="22"/>
          <w:szCs w:val="22"/>
        </w:rPr>
        <w:t xml:space="preserve"> счет Поставщика. Срок устранения неисправностей не может превышать 15 (Пятнадцать) календарных дней при условии наличия необходимых для ремонта запчастей на складе. Срок поставки запчастей составляет не более 60 (Шестидесяти) календарных дней.</w:t>
      </w:r>
      <w:r>
        <w:rPr>
          <w:sz w:val="22"/>
          <w:szCs w:val="22"/>
        </w:rPr>
      </w:r>
      <w:r>
        <w:rPr>
          <w:sz w:val="22"/>
          <w:szCs w:val="22"/>
        </w:rPr>
      </w:r>
    </w:p>
    <w:p>
      <w:pPr>
        <w:numPr>
          <w:ilvl w:val="1"/>
          <w:numId w:val="1"/>
        </w:numPr>
        <w:ind w:left="0" w:right="-24" w:firstLine="567"/>
        <w:jc w:val="both"/>
        <w:widowControl w:val="off"/>
        <w:tabs>
          <w:tab w:val="left" w:pos="1134" w:leader="none"/>
        </w:tabs>
        <w:rPr>
          <w:sz w:val="22"/>
          <w:szCs w:val="22"/>
        </w:rPr>
      </w:pPr>
      <w:r>
        <w:rPr>
          <w:sz w:val="22"/>
          <w:szCs w:val="22"/>
        </w:rPr>
        <w:t xml:space="preserve">Положения п. 7.3 не действуют, если условия эксплуатации Товара не соответствуют требованиям, изложенным в инструкции по эксплуатации; если име</w:t>
      </w:r>
      <w:r>
        <w:rPr>
          <w:sz w:val="22"/>
          <w:szCs w:val="22"/>
        </w:rPr>
        <w:t xml:space="preserve">л место факт вскрытия пломб в устройствах или узлах; если имеются существенные механические повреждения, возникшие по вине Покупателя; если используются расходные материалы, качество которых не отвечает требованиям, изложенным в инструкции по эксплуатации </w:t>
      </w:r>
      <w:r>
        <w:rPr>
          <w:sz w:val="22"/>
          <w:szCs w:val="22"/>
        </w:rPr>
        <w:t xml:space="preserve">оборудования.</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ОТВЕТСТВЕННОСТЬ СТОРОН</w:t>
      </w:r>
      <w:r>
        <w:rPr>
          <w:b/>
          <w:sz w:val="22"/>
          <w:szCs w:val="22"/>
        </w:rPr>
      </w:r>
      <w:r>
        <w:rPr>
          <w:b/>
          <w:sz w:val="22"/>
          <w:szCs w:val="22"/>
        </w:rPr>
      </w:r>
    </w:p>
    <w:p>
      <w:pPr>
        <w:pStyle w:val="1001"/>
        <w:numPr>
          <w:ilvl w:val="1"/>
          <w:numId w:val="2"/>
        </w:numPr>
        <w:ind w:left="0" w:right="-24" w:firstLine="567"/>
        <w:jc w:val="both"/>
        <w:widowControl w:val="off"/>
        <w:tabs>
          <w:tab w:val="left" w:pos="426" w:leader="none"/>
          <w:tab w:val="left" w:pos="1080" w:leader="none"/>
          <w:tab w:val="left" w:pos="1134" w:leader="none"/>
        </w:tabs>
        <w:rPr>
          <w:sz w:val="22"/>
          <w:szCs w:val="22"/>
        </w:rPr>
      </w:pPr>
      <w:r>
        <w:rPr>
          <w:color w:val="000000"/>
          <w:sz w:val="22"/>
          <w:szCs w:val="22"/>
        </w:rPr>
        <w:t xml:space="preserve">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r>
        <w:rPr>
          <w:sz w:val="22"/>
          <w:szCs w:val="22"/>
        </w:rPr>
      </w:r>
      <w:r>
        <w:rPr>
          <w:sz w:val="22"/>
          <w:szCs w:val="22"/>
        </w:rPr>
      </w:r>
    </w:p>
    <w:p>
      <w:pPr>
        <w:pStyle w:val="1001"/>
        <w:numPr>
          <w:ilvl w:val="1"/>
          <w:numId w:val="2"/>
        </w:numPr>
        <w:ind w:left="0" w:right="-24" w:firstLine="567"/>
        <w:jc w:val="both"/>
        <w:widowControl w:val="off"/>
        <w:tabs>
          <w:tab w:val="left" w:pos="426" w:leader="none"/>
          <w:tab w:val="left" w:pos="1080" w:leader="none"/>
          <w:tab w:val="left" w:pos="1134" w:leader="none"/>
        </w:tabs>
        <w:rPr>
          <w:sz w:val="22"/>
          <w:szCs w:val="22"/>
        </w:rPr>
      </w:pPr>
      <w:r>
        <w:rPr>
          <w:sz w:val="22"/>
          <w:szCs w:val="22"/>
        </w:rPr>
        <w:t xml:space="preserve">В случае поставки Товара ненадлежащего качества Поставщик по требованию Покупателя безвозмездно устраняет недостатки Товара в течение 5 (пяти) рабочих дней, либо возмещает расходы, связанные с устранением недостатков Товара.</w:t>
      </w:r>
      <w:r>
        <w:rPr>
          <w:sz w:val="22"/>
          <w:szCs w:val="22"/>
        </w:rPr>
      </w:r>
      <w:r>
        <w:rPr>
          <w:sz w:val="22"/>
          <w:szCs w:val="22"/>
        </w:rPr>
      </w:r>
    </w:p>
    <w:p>
      <w:pPr>
        <w:pStyle w:val="1001"/>
        <w:numPr>
          <w:ilvl w:val="1"/>
          <w:numId w:val="2"/>
        </w:numPr>
        <w:ind w:left="0" w:right="-24" w:firstLine="567"/>
        <w:jc w:val="both"/>
        <w:widowControl w:val="off"/>
        <w:tabs>
          <w:tab w:val="left" w:pos="426" w:leader="none"/>
          <w:tab w:val="left" w:pos="1080" w:leader="none"/>
          <w:tab w:val="left" w:pos="1134" w:leader="none"/>
          <w:tab w:val="left" w:pos="9899" w:leader="none"/>
        </w:tabs>
        <w:rPr>
          <w:sz w:val="22"/>
          <w:szCs w:val="22"/>
        </w:rPr>
      </w:pPr>
      <w:r>
        <w:rPr>
          <w:sz w:val="22"/>
          <w:szCs w:val="22"/>
        </w:rPr>
        <w:t xml:space="preserve">В случае нарушения Поставщиком сроков передачи Товара он должен уплатить Покупателю неустойку в размере 0,1% от стоимости соответствующего Товара за каждый день просрочки в передаче Товара.</w:t>
      </w:r>
      <w:r>
        <w:rPr>
          <w:sz w:val="22"/>
          <w:szCs w:val="22"/>
        </w:rPr>
      </w:r>
      <w:r>
        <w:rPr>
          <w:sz w:val="22"/>
          <w:szCs w:val="22"/>
        </w:rPr>
      </w:r>
    </w:p>
    <w:p>
      <w:pPr>
        <w:pStyle w:val="1001"/>
        <w:numPr>
          <w:ilvl w:val="1"/>
          <w:numId w:val="2"/>
        </w:numPr>
        <w:ind w:left="0" w:right="-24" w:firstLine="567"/>
        <w:jc w:val="both"/>
        <w:widowControl w:val="off"/>
        <w:tabs>
          <w:tab w:val="left" w:pos="426" w:leader="none"/>
          <w:tab w:val="left" w:pos="1080" w:leader="none"/>
          <w:tab w:val="left" w:pos="1134" w:leader="none"/>
          <w:tab w:val="left" w:pos="9899" w:leader="none"/>
        </w:tabs>
        <w:rPr>
          <w:sz w:val="22"/>
          <w:szCs w:val="22"/>
        </w:rPr>
      </w:pPr>
      <w:r>
        <w:rPr>
          <w:sz w:val="22"/>
          <w:szCs w:val="22"/>
        </w:rPr>
        <w:t xml:space="preserve">В случае нарушения Покупателем сроков оплаты он должен оплатить Поставщику неустойку в размере 0,1% от суммы, оплата которой просрочена, за каждый день просрочки. Настоящий пункт не применяется в отношении авансового платежа.</w:t>
      </w:r>
      <w:r>
        <w:rPr>
          <w:sz w:val="22"/>
          <w:szCs w:val="22"/>
        </w:rPr>
      </w:r>
      <w:r>
        <w:rPr>
          <w:sz w:val="22"/>
          <w:szCs w:val="22"/>
        </w:rPr>
      </w:r>
    </w:p>
    <w:p>
      <w:pPr>
        <w:pStyle w:val="1001"/>
        <w:numPr>
          <w:ilvl w:val="1"/>
          <w:numId w:val="2"/>
        </w:numPr>
        <w:ind w:left="0" w:right="-24" w:firstLine="567"/>
        <w:jc w:val="both"/>
        <w:widowControl w:val="off"/>
        <w:tabs>
          <w:tab w:val="left" w:pos="426" w:leader="none"/>
          <w:tab w:val="left" w:pos="1080" w:leader="none"/>
          <w:tab w:val="left" w:pos="1134" w:leader="none"/>
          <w:tab w:val="left" w:pos="9899" w:leader="none"/>
        </w:tabs>
        <w:rPr>
          <w:sz w:val="22"/>
          <w:szCs w:val="22"/>
        </w:rPr>
      </w:pPr>
      <w:r>
        <w:rPr>
          <w:sz w:val="22"/>
          <w:szCs w:val="22"/>
        </w:rPr>
        <w:t xml:space="preserve">Уплата неустойки не освобождает ни одну из Сторон Договора от надлежащего исполнения его условий в полном объёме.</w:t>
      </w:r>
      <w:r>
        <w:rPr>
          <w:sz w:val="22"/>
          <w:szCs w:val="22"/>
        </w:rPr>
      </w:r>
      <w:r>
        <w:rPr>
          <w:sz w:val="22"/>
          <w:szCs w:val="22"/>
        </w:rPr>
      </w:r>
    </w:p>
    <w:p>
      <w:pPr>
        <w:pStyle w:val="1001"/>
        <w:numPr>
          <w:ilvl w:val="1"/>
          <w:numId w:val="2"/>
        </w:numPr>
        <w:ind w:left="0" w:right="-24" w:firstLine="567"/>
        <w:jc w:val="both"/>
        <w:widowControl w:val="off"/>
        <w:tabs>
          <w:tab w:val="left" w:pos="426" w:leader="none"/>
          <w:tab w:val="left" w:pos="1080" w:leader="none"/>
          <w:tab w:val="left" w:pos="1134" w:leader="none"/>
          <w:tab w:val="left" w:pos="9899" w:leader="none"/>
        </w:tabs>
        <w:rPr>
          <w:sz w:val="22"/>
          <w:szCs w:val="22"/>
        </w:rPr>
      </w:pPr>
      <w:r>
        <w:rPr>
          <w:sz w:val="22"/>
          <w:szCs w:val="22"/>
        </w:rPr>
        <w:t xml:space="preserve">За нарушение Поставщиком сроков исполнения обязательств по предоставлению документов в соответствии пунктами </w:t>
      </w:r>
      <w:r>
        <w:rPr>
          <w:spacing w:val="-11"/>
          <w:sz w:val="22"/>
          <w:szCs w:val="22"/>
        </w:rPr>
        <w:t xml:space="preserve">пп</w:t>
      </w:r>
      <w:r>
        <w:rPr>
          <w:spacing w:val="-11"/>
          <w:sz w:val="22"/>
          <w:szCs w:val="22"/>
        </w:rPr>
        <w:t xml:space="preserve">. г) п. 2.1</w:t>
      </w:r>
      <w:r>
        <w:rPr>
          <w:spacing w:val="-11"/>
          <w:sz w:val="22"/>
          <w:szCs w:val="22"/>
        </w:rPr>
        <w:t xml:space="preserve">,  3.3.1</w:t>
      </w:r>
      <w:r>
        <w:rPr>
          <w:spacing w:val="-11"/>
          <w:sz w:val="22"/>
          <w:szCs w:val="22"/>
        </w:rPr>
        <w:t xml:space="preserve">,</w:t>
      </w:r>
      <w:r>
        <w:rPr>
          <w:sz w:val="22"/>
          <w:szCs w:val="22"/>
        </w:rPr>
        <w:t xml:space="preserve">  3.5, 3.6 Договора Покупатель имеет право потребовать от Поставщика уплаты пени в размере 1/360 ставки рефинансирования ЦБ РФ</w:t>
      </w:r>
      <w:r>
        <w:rPr>
          <w:sz w:val="22"/>
          <w:szCs w:val="22"/>
        </w:rPr>
        <w:t xml:space="preserve">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Pr>
          <w:spacing w:val="-11"/>
          <w:sz w:val="22"/>
          <w:szCs w:val="22"/>
        </w:rPr>
        <w:t xml:space="preserve">пп</w:t>
      </w:r>
      <w:r>
        <w:rPr>
          <w:spacing w:val="-11"/>
          <w:sz w:val="22"/>
          <w:szCs w:val="22"/>
        </w:rPr>
        <w:t xml:space="preserve">. г) п. 2.1, 3.3.1, </w:t>
      </w:r>
      <w:r>
        <w:rPr>
          <w:sz w:val="22"/>
          <w:szCs w:val="22"/>
        </w:rPr>
        <w:t xml:space="preserve">3.5, 3.6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r>
        <w:rPr>
          <w:sz w:val="22"/>
          <w:szCs w:val="22"/>
        </w:rPr>
      </w:r>
      <w:r>
        <w:rPr>
          <w:sz w:val="22"/>
          <w:szCs w:val="22"/>
        </w:rPr>
      </w:r>
    </w:p>
    <w:p>
      <w:pPr>
        <w:pStyle w:val="1001"/>
        <w:ind w:right="-24"/>
        <w:jc w:val="both"/>
        <w:widowControl w:val="off"/>
        <w:tabs>
          <w:tab w:val="left" w:pos="426" w:leader="none"/>
          <w:tab w:val="left" w:pos="1080" w:leader="none"/>
          <w:tab w:val="left" w:pos="1134" w:leader="none"/>
          <w:tab w:val="left" w:pos="9899" w:leader="none"/>
        </w:tabs>
        <w:rPr>
          <w:sz w:val="22"/>
          <w:szCs w:val="22"/>
        </w:rPr>
      </w:pPr>
      <w:r>
        <w:rPr>
          <w:sz w:val="22"/>
          <w:szCs w:val="22"/>
        </w:rPr>
      </w:r>
      <w:r>
        <w:rPr>
          <w:sz w:val="22"/>
          <w:szCs w:val="22"/>
        </w:rPr>
      </w:r>
      <w:r>
        <w:rPr>
          <w:sz w:val="22"/>
          <w:szCs w:val="22"/>
        </w:rPr>
      </w:r>
    </w:p>
    <w:p>
      <w:pPr>
        <w:ind w:left="0" w:firstLine="0"/>
        <w:jc w:val="center"/>
        <w:keepNext/>
        <w:spacing w:before="120" w:after="120" w:line="240" w:lineRule="auto"/>
        <w:shd w:val="clear" w:color="auto" w:fill="ffffff"/>
        <w:widowControl w:val="off"/>
        <w:tabs>
          <w:tab w:val="num" w:pos="1134" w:leader="none"/>
        </w:tabs>
        <w:rPr>
          <w:rFonts w:ascii="Times New Roman" w:hAnsi="Times New Roman" w:cs="Times New Roman"/>
          <w:b/>
          <w:bCs/>
        </w:rPr>
      </w:pPr>
      <w:r>
        <w:rPr>
          <w:rFonts w:ascii="Times New Roman" w:hAnsi="Times New Roman" w:cs="Times New Roman"/>
          <w:b/>
          <w:bCs/>
          <w:sz w:val="22"/>
          <w:szCs w:val="22"/>
        </w:rPr>
        <w:t xml:space="preserve">9. УСЛОВИЯ ОБЕСПЕЧЕНИЯ ИСПОЛНЕНИЯ ОБЯЗАТЕЛЬСТВ</w:t>
      </w:r>
      <w:r>
        <w:rPr>
          <w:rFonts w:ascii="Times New Roman" w:hAnsi="Times New Roman" w:cs="Times New Roman"/>
          <w:b/>
          <w:bCs/>
          <w:sz w:val="22"/>
          <w:szCs w:val="22"/>
        </w:rPr>
      </w:r>
      <w:r>
        <w:rPr>
          <w:rFonts w:ascii="Times New Roman" w:hAnsi="Times New Roman" w:cs="Times New Roman"/>
          <w:b/>
          <w:bCs/>
        </w:rPr>
      </w:r>
    </w:p>
    <w:p>
      <w:pPr>
        <w:ind w:left="28" w:firstLine="720"/>
        <w:jc w:val="both"/>
        <w:keepNext/>
        <w:spacing w:before="120" w:after="120"/>
        <w:shd w:val="clear" w:color="auto" w:fill="ffffff"/>
        <w:widowControl w:val="off"/>
        <w:tabs>
          <w:tab w:val="left" w:pos="0" w:leader="none"/>
          <w:tab w:val="num" w:pos="1134" w:leader="none"/>
        </w:tabs>
      </w:pPr>
      <w:r>
        <w:rPr>
          <w:sz w:val="22"/>
          <w:szCs w:val="22"/>
        </w:rPr>
        <w:t xml:space="preserve">9.1. Покупателем определены следующие обязательства по Договору, которые должны быть обеспечены:</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 обязательство о поставке Товара в сроки, указанные в Договоре;</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 обязательство о постав</w:t>
      </w:r>
      <w:r>
        <w:rPr>
          <w:sz w:val="22"/>
          <w:szCs w:val="22"/>
        </w:rPr>
        <w:t xml:space="preserve">ке Товара, соответствующих качественным и количественным характеристикам, установленным в Договоре;</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 другие обязательства, предусмотренные условиями Договора.</w:t>
      </w:r>
      <w:r/>
      <w:r/>
    </w:p>
    <w:p>
      <w:pPr>
        <w:ind w:left="28" w:firstLine="720"/>
        <w:jc w:val="both"/>
        <w:keepNext/>
        <w:spacing w:before="120" w:after="120"/>
        <w:shd w:val="clear" w:color="auto" w:fill="ffffff"/>
        <w:widowControl w:val="off"/>
        <w:tabs>
          <w:tab w:val="left" w:pos="0" w:leader="none"/>
          <w:tab w:val="num" w:pos="1134" w:leader="none"/>
        </w:tabs>
      </w:pPr>
      <w:r>
        <w:rPr>
          <w:sz w:val="22"/>
          <w:szCs w:val="22"/>
        </w:rPr>
        <w:t xml:space="preserve">9.2. Обеспечение исполнения Договора представляется до даты заключения договора и может быть пре</w:t>
      </w:r>
      <w:r>
        <w:rPr>
          <w:sz w:val="22"/>
          <w:szCs w:val="22"/>
        </w:rPr>
        <w:t xml:space="preserve">дставлено в виде</w:t>
      </w:r>
      <w:r>
        <w:rPr>
          <w:sz w:val="22"/>
          <w:szCs w:val="22"/>
        </w:rPr>
        <w:t xml:space="preserve"> безотзывной</w:t>
      </w:r>
      <w:r>
        <w:rPr>
          <w:sz w:val="22"/>
          <w:szCs w:val="22"/>
        </w:rPr>
        <w:t xml:space="preserve"> </w:t>
      </w:r>
      <w:r>
        <w:rPr>
          <w:sz w:val="22"/>
          <w:szCs w:val="22"/>
        </w:rPr>
        <w:t xml:space="preserve">банковской</w:t>
      </w:r>
      <w:r>
        <w:rPr>
          <w:sz w:val="22"/>
          <w:szCs w:val="22"/>
        </w:rPr>
        <w:t xml:space="preserve">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_________________ (______________</w:t>
      </w:r>
      <w:r>
        <w:rPr>
          <w:sz w:val="22"/>
          <w:szCs w:val="22"/>
        </w:rPr>
        <w:t xml:space="preserve">___) рублей___ копеек.</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В случае, если обеспечение исполнения Договора предоставляется в виде </w:t>
      </w:r>
      <w:r>
        <w:rPr>
          <w:sz w:val="22"/>
          <w:szCs w:val="22"/>
        </w:rPr>
        <w:t xml:space="preserve">безотзывной банковской</w:t>
      </w:r>
      <w:r>
        <w:rPr>
          <w:sz w:val="22"/>
          <w:szCs w:val="22"/>
        </w:rPr>
        <w:t xml:space="preserve">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w:t>
      </w:r>
      <w:r>
        <w:rPr>
          <w:sz w:val="22"/>
          <w:szCs w:val="22"/>
        </w:rPr>
        <w:t xml:space="preserve">банковской</w:t>
      </w:r>
      <w:r>
        <w:rPr>
          <w:sz w:val="22"/>
          <w:szCs w:val="22"/>
        </w:rPr>
        <w:t xml:space="preserve"> гарантией, таким поручительством не менее чем на один месяц.</w:t>
      </w:r>
      <w:r/>
      <w:r/>
    </w:p>
    <w:p>
      <w:pPr>
        <w:ind w:left="28" w:firstLine="720"/>
        <w:jc w:val="both"/>
        <w:keepNext/>
        <w:spacing w:before="120" w:after="120"/>
        <w:shd w:val="clear" w:color="auto" w:fill="ffffff"/>
        <w:widowControl w:val="off"/>
        <w:tabs>
          <w:tab w:val="left" w:pos="0" w:leader="none"/>
          <w:tab w:val="num" w:pos="993" w:leader="none"/>
          <w:tab w:val="num" w:pos="1134" w:leader="none"/>
        </w:tabs>
      </w:pPr>
      <w:r>
        <w:rPr>
          <w:sz w:val="22"/>
          <w:szCs w:val="22"/>
        </w:rPr>
        <w:t xml:space="preserve">9.3. Способ </w:t>
      </w:r>
      <w:r>
        <w:rPr>
          <w:sz w:val="22"/>
          <w:szCs w:val="22"/>
        </w:rPr>
        <w:t xml:space="preserve">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r/>
      <w:r/>
    </w:p>
    <w:p>
      <w:pPr>
        <w:ind w:left="28" w:firstLine="720"/>
        <w:jc w:val="both"/>
        <w:keepNext/>
        <w:spacing w:before="120" w:after="120"/>
        <w:shd w:val="clear" w:color="auto" w:fill="ffffff"/>
        <w:widowControl w:val="off"/>
        <w:tabs>
          <w:tab w:val="left" w:pos="0" w:leader="none"/>
          <w:tab w:val="num" w:pos="1134" w:leader="none"/>
        </w:tabs>
      </w:pPr>
      <w:r>
        <w:rPr>
          <w:sz w:val="22"/>
          <w:szCs w:val="22"/>
        </w:rPr>
        <w:t xml:space="preserve">9.4. В случае предоставления в качестве обеспечения исполнения Договора </w:t>
      </w:r>
      <w:r>
        <w:rPr>
          <w:sz w:val="22"/>
          <w:szCs w:val="22"/>
        </w:rPr>
        <w:t xml:space="preserve">банковской</w:t>
      </w:r>
      <w:r>
        <w:rPr>
          <w:sz w:val="22"/>
          <w:szCs w:val="22"/>
        </w:rPr>
        <w:t xml:space="preserve"> гарантии, </w:t>
      </w:r>
      <w:r>
        <w:rPr>
          <w:sz w:val="22"/>
          <w:szCs w:val="22"/>
        </w:rPr>
        <w:t xml:space="preserve">банковская</w:t>
      </w:r>
      <w:r>
        <w:rPr>
          <w:sz w:val="22"/>
          <w:szCs w:val="22"/>
        </w:rPr>
        <w:t xml:space="preserve"> гарантия должна отвечать следующим требованиям, предъявляемым к условиям принимаемых </w:t>
      </w:r>
      <w:r>
        <w:rPr>
          <w:sz w:val="22"/>
          <w:szCs w:val="22"/>
        </w:rPr>
        <w:t xml:space="preserve">банковских</w:t>
      </w:r>
      <w:r>
        <w:rPr>
          <w:sz w:val="22"/>
          <w:szCs w:val="22"/>
        </w:rPr>
        <w:t xml:space="preserve"> гарантий:</w:t>
      </w:r>
      <w:r/>
      <w:r/>
    </w:p>
    <w:p>
      <w:pPr>
        <w:ind w:firstLine="777"/>
        <w:jc w:val="both"/>
        <w:keepNext/>
        <w:spacing w:before="120" w:after="120"/>
        <w:shd w:val="clear" w:color="auto" w:fill="ffffff"/>
        <w:widowControl w:val="off"/>
        <w:tabs>
          <w:tab w:val="left" w:pos="0" w:leader="none"/>
          <w:tab w:val="num" w:pos="1134" w:leader="none"/>
        </w:tabs>
      </w:pPr>
      <w:r>
        <w:rPr>
          <w:sz w:val="22"/>
          <w:szCs w:val="22"/>
        </w:rPr>
        <w:t xml:space="preserve">9.4.</w:t>
      </w:r>
      <w:r>
        <w:rPr>
          <w:sz w:val="22"/>
          <w:szCs w:val="22"/>
        </w:rPr>
        <w:t xml:space="preserve">1</w:t>
      </w:r>
      <w:r>
        <w:rPr>
          <w:sz w:val="22"/>
          <w:szCs w:val="22"/>
        </w:rPr>
        <w:t xml:space="preserve">. Форма банковской</w:t>
      </w:r>
      <w:r>
        <w:rPr>
          <w:sz w:val="22"/>
          <w:szCs w:val="22"/>
        </w:rPr>
        <w:t xml:space="preserve"> гарантии должна быть составлена с учетом требований статей 368—379 Гражданского кодекса РФ и в ней должны быть указаны:</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дата выдачи</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принципа</w:t>
      </w:r>
      <w:r>
        <w:rPr>
          <w:sz w:val="22"/>
          <w:szCs w:val="22"/>
        </w:rPr>
        <w:t xml:space="preserve">л;</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бенефициар;</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гарант</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денежная сумма, подлежащая выплате, или порядок ее определения;</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срок действия гарантии;</w:t>
      </w:r>
      <w:r/>
      <w:r/>
    </w:p>
    <w:p>
      <w:pPr>
        <w:pStyle w:val="1016"/>
        <w:ind w:left="0" w:firstLine="709"/>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обстоятельства, при наступлении которых должна быть выплачена сумма гарантии.</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2</w:t>
      </w:r>
      <w:r>
        <w:rPr>
          <w:sz w:val="22"/>
          <w:szCs w:val="22"/>
        </w:rPr>
        <w:t xml:space="preserve">. </w:t>
      </w:r>
      <w:r>
        <w:rPr>
          <w:sz w:val="22"/>
          <w:szCs w:val="22"/>
        </w:rPr>
        <w:t xml:space="preserve">Банковская</w:t>
      </w:r>
      <w:r>
        <w:rPr>
          <w:sz w:val="22"/>
          <w:szCs w:val="22"/>
        </w:rPr>
        <w:t xml:space="preserve"> </w:t>
      </w:r>
      <w:r>
        <w:rPr>
          <w:sz w:val="22"/>
          <w:szCs w:val="22"/>
        </w:rPr>
        <w:t xml:space="preserve">гарантия </w:t>
      </w:r>
      <w:r>
        <w:rPr>
          <w:sz w:val="22"/>
          <w:szCs w:val="22"/>
        </w:rPr>
        <w:t xml:space="preserve">должна</w:t>
      </w:r>
      <w:r>
        <w:rPr>
          <w:sz w:val="22"/>
          <w:szCs w:val="22"/>
        </w:rPr>
        <w:t xml:space="preserve"> быть </w:t>
      </w:r>
      <w:r>
        <w:rPr>
          <w:sz w:val="22"/>
          <w:szCs w:val="22"/>
        </w:rPr>
        <w:t xml:space="preserve">безотзывной</w:t>
      </w:r>
      <w:r>
        <w:rPr>
          <w:sz w:val="22"/>
          <w:szCs w:val="22"/>
        </w:rPr>
        <w:t xml:space="preserve">.</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3</w:t>
      </w:r>
      <w:r>
        <w:rPr>
          <w:sz w:val="22"/>
          <w:szCs w:val="22"/>
        </w:rPr>
        <w:t xml:space="preserve">. В </w:t>
      </w:r>
      <w:r>
        <w:rPr>
          <w:sz w:val="22"/>
          <w:szCs w:val="22"/>
        </w:rPr>
        <w:t xml:space="preserve">банковской</w:t>
      </w:r>
      <w:r>
        <w:rPr>
          <w:sz w:val="22"/>
          <w:szCs w:val="22"/>
        </w:rPr>
        <w:t xml:space="preserve"> гарантии должно содержаться условие оплаты Гарантом по первому письменному требованию Бенефициара и указан срок для осуществления гарантом платежа (10 рабочих дней) по требованию в </w:t>
      </w:r>
      <w:r>
        <w:rPr>
          <w:sz w:val="22"/>
          <w:szCs w:val="22"/>
        </w:rPr>
        <w:t xml:space="preserve">случае, если требование платежа является надлежащим.</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4</w:t>
      </w:r>
      <w:r>
        <w:rPr>
          <w:sz w:val="22"/>
          <w:szCs w:val="22"/>
        </w:rPr>
        <w:t xml:space="preserve">. В </w:t>
      </w:r>
      <w:r>
        <w:rPr>
          <w:sz w:val="22"/>
          <w:szCs w:val="22"/>
        </w:rPr>
        <w:t xml:space="preserve">банковской</w:t>
      </w:r>
      <w:r>
        <w:rPr>
          <w:sz w:val="22"/>
          <w:szCs w:val="22"/>
        </w:rPr>
        <w:t xml:space="preserve"> гарантии должна быть указана сумма, подлежащая выплате.</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5</w:t>
      </w:r>
      <w:r>
        <w:rPr>
          <w:sz w:val="22"/>
          <w:szCs w:val="22"/>
        </w:rPr>
        <w:t xml:space="preserve">. В </w:t>
      </w:r>
      <w:r>
        <w:rPr>
          <w:sz w:val="22"/>
          <w:szCs w:val="22"/>
        </w:rPr>
        <w:t xml:space="preserve">банковской</w:t>
      </w:r>
      <w:r>
        <w:rPr>
          <w:sz w:val="22"/>
          <w:szCs w:val="22"/>
        </w:rPr>
        <w:t xml:space="preserve"> гарантии должен быть указан срок ее действия (дата) [срок должен быть определен по правилам Гражданского </w:t>
      </w:r>
      <w:r>
        <w:rPr>
          <w:sz w:val="22"/>
          <w:szCs w:val="22"/>
        </w:rPr>
        <w:t xml:space="preserve">Кодекса РФ</w:t>
      </w:r>
      <w:r>
        <w:rPr>
          <w:sz w:val="22"/>
          <w:szCs w:val="22"/>
        </w:rPr>
        <w:t xml:space="preserve">,</w:t>
      </w:r>
      <w:r>
        <w:rPr>
          <w:sz w:val="22"/>
          <w:szCs w:val="22"/>
        </w:rPr>
        <w:t xml:space="preserve"> но в любом случае срок действия гарантии должен превышать срок исполнения обязательств по Договору не менее, чем на один месяц</w:t>
      </w:r>
      <w:r>
        <w:rPr>
          <w:sz w:val="22"/>
          <w:szCs w:val="22"/>
        </w:rPr>
        <w:t xml:space="preserve">].</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6</w:t>
      </w:r>
      <w:r>
        <w:rPr>
          <w:sz w:val="22"/>
          <w:szCs w:val="22"/>
        </w:rPr>
        <w:t xml:space="preserve">. В тексте </w:t>
      </w:r>
      <w:r>
        <w:rPr>
          <w:sz w:val="22"/>
          <w:szCs w:val="22"/>
        </w:rPr>
        <w:t xml:space="preserve">банковской</w:t>
      </w:r>
      <w:r>
        <w:rPr>
          <w:sz w:val="22"/>
          <w:szCs w:val="22"/>
        </w:rPr>
        <w:t xml:space="preserve"> гарантии должна содержаться информация об основном обязательстве, исполнение по которому обеспечивается гарантией (№ и дата Догов</w:t>
      </w:r>
      <w:r>
        <w:rPr>
          <w:sz w:val="22"/>
          <w:szCs w:val="22"/>
        </w:rPr>
        <w:t xml:space="preserve">ора и его предмет / № и дата извещения о </w:t>
      </w:r>
      <w:r>
        <w:rPr>
          <w:sz w:val="22"/>
          <w:szCs w:val="22"/>
        </w:rPr>
        <w:t xml:space="preserve">проведении закупки и его предмет).</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7</w:t>
      </w:r>
      <w:r>
        <w:rPr>
          <w:sz w:val="22"/>
          <w:szCs w:val="22"/>
        </w:rPr>
        <w:t xml:space="preserve">. В тексте </w:t>
      </w:r>
      <w:r>
        <w:rPr>
          <w:sz w:val="22"/>
          <w:szCs w:val="22"/>
        </w:rPr>
        <w:t xml:space="preserve">банковской</w:t>
      </w:r>
      <w:r>
        <w:rPr>
          <w:sz w:val="22"/>
          <w:szCs w:val="22"/>
        </w:rPr>
        <w:t xml:space="preserve"> гарантии должно быть указано, что она выдается в обеспечение исполнения обязательств по Договору.</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8</w:t>
      </w:r>
      <w:r>
        <w:rPr>
          <w:sz w:val="22"/>
          <w:szCs w:val="22"/>
        </w:rPr>
        <w:t xml:space="preserve">. При продлении срока действия Договора срок дей</w:t>
      </w:r>
      <w:r>
        <w:rPr>
          <w:sz w:val="22"/>
          <w:szCs w:val="22"/>
        </w:rPr>
        <w:t xml:space="preserve">ствия </w:t>
      </w:r>
      <w:r>
        <w:rPr>
          <w:sz w:val="22"/>
          <w:szCs w:val="22"/>
        </w:rPr>
        <w:t xml:space="preserve">банковской</w:t>
      </w:r>
      <w:r>
        <w:rPr>
          <w:sz w:val="22"/>
          <w:szCs w:val="22"/>
        </w:rPr>
        <w:t xml:space="preserve"> гарантии также должен быть продлен на этот же период времени, либо организована выдача новой </w:t>
      </w:r>
      <w:r>
        <w:rPr>
          <w:sz w:val="22"/>
          <w:szCs w:val="22"/>
        </w:rPr>
        <w:t xml:space="preserve">банковской</w:t>
      </w:r>
      <w:r>
        <w:rPr>
          <w:sz w:val="22"/>
          <w:szCs w:val="22"/>
        </w:rPr>
        <w:t xml:space="preserve"> гарантии на аналогичных условиях (согласно требованиям действующего законодательства, применимого права гарантии и решения гаранта).</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9</w:t>
      </w:r>
      <w:r>
        <w:rPr>
          <w:sz w:val="22"/>
          <w:szCs w:val="22"/>
        </w:rPr>
        <w:t xml:space="preserve">. В </w:t>
      </w:r>
      <w:r>
        <w:rPr>
          <w:sz w:val="22"/>
          <w:szCs w:val="22"/>
        </w:rPr>
        <w:t xml:space="preserve">банковской</w:t>
      </w:r>
      <w:r>
        <w:rPr>
          <w:sz w:val="22"/>
          <w:szCs w:val="22"/>
        </w:rPr>
        <w:t xml:space="preserve">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w:t>
      </w:r>
      <w:r>
        <w:rPr>
          <w:sz w:val="22"/>
          <w:szCs w:val="22"/>
        </w:rPr>
        <w:t xml:space="preserve">то, какие именно обязательства нарушены Принципалом.</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w:t>
      </w:r>
      <w:r>
        <w:rPr>
          <w:sz w:val="22"/>
          <w:szCs w:val="22"/>
        </w:rPr>
        <w:t xml:space="preserve">10</w:t>
      </w:r>
      <w:r>
        <w:rPr>
          <w:sz w:val="22"/>
          <w:szCs w:val="22"/>
        </w:rPr>
        <w:t xml:space="preserve">. Требование платежа должно быть предъявлено Гаранту до истечения срока действия </w:t>
      </w:r>
      <w:r>
        <w:rPr>
          <w:sz w:val="22"/>
          <w:szCs w:val="22"/>
        </w:rPr>
        <w:t xml:space="preserve">банковской</w:t>
      </w:r>
      <w:r>
        <w:rPr>
          <w:sz w:val="22"/>
          <w:szCs w:val="22"/>
        </w:rPr>
        <w:t xml:space="preserve"> гарантии. Процедура предъявления требований должна быть четко описана.</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9.4.1</w:t>
      </w:r>
      <w:r>
        <w:rPr>
          <w:sz w:val="22"/>
          <w:szCs w:val="22"/>
        </w:rPr>
        <w:t xml:space="preserve">1</w:t>
      </w:r>
      <w:r>
        <w:rPr>
          <w:sz w:val="22"/>
          <w:szCs w:val="22"/>
        </w:rPr>
        <w:t xml:space="preserve">. В </w:t>
      </w:r>
      <w:r>
        <w:rPr>
          <w:sz w:val="22"/>
          <w:szCs w:val="22"/>
        </w:rPr>
        <w:t xml:space="preserve">банковской</w:t>
      </w:r>
      <w:r>
        <w:rPr>
          <w:sz w:val="22"/>
          <w:szCs w:val="22"/>
        </w:rPr>
        <w:t xml:space="preserve"> гарантии мо</w:t>
      </w:r>
      <w:r>
        <w:rPr>
          <w:sz w:val="22"/>
          <w:szCs w:val="22"/>
        </w:rPr>
        <w:t xml:space="preserve">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r/>
      <w:r/>
    </w:p>
    <w:p>
      <w:pPr>
        <w:ind w:firstLine="777"/>
        <w:jc w:val="both"/>
        <w:keepNext/>
        <w:spacing w:before="120" w:after="120"/>
        <w:shd w:val="clear" w:color="auto" w:fill="ffffff"/>
        <w:widowControl w:val="off"/>
        <w:tabs>
          <w:tab w:val="left" w:pos="0" w:leader="none"/>
          <w:tab w:val="num" w:pos="1134" w:leader="none"/>
          <w:tab w:val="num" w:pos="1353" w:leader="none"/>
        </w:tabs>
      </w:pPr>
      <w:r>
        <w:rPr>
          <w:sz w:val="22"/>
          <w:szCs w:val="22"/>
        </w:rPr>
        <w:t xml:space="preserve">9.4.1</w:t>
      </w:r>
      <w:r>
        <w:rPr>
          <w:sz w:val="22"/>
          <w:szCs w:val="22"/>
        </w:rPr>
        <w:t xml:space="preserve">2</w:t>
      </w:r>
      <w:r>
        <w:rPr>
          <w:sz w:val="22"/>
          <w:szCs w:val="22"/>
        </w:rPr>
        <w:t xml:space="preserve">. В </w:t>
      </w:r>
      <w:r>
        <w:rPr>
          <w:sz w:val="22"/>
          <w:szCs w:val="22"/>
        </w:rPr>
        <w:t xml:space="preserve">банковской</w:t>
      </w:r>
      <w:r>
        <w:rPr>
          <w:sz w:val="22"/>
          <w:szCs w:val="22"/>
        </w:rPr>
        <w:t xml:space="preserve"> гарантии долж</w:t>
      </w:r>
      <w:r>
        <w:rPr>
          <w:sz w:val="22"/>
          <w:szCs w:val="22"/>
        </w:rPr>
        <w:t xml:space="preserve">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Для получения суммы гарантии или ее части Бенефициар направляет в адрес га</w:t>
      </w:r>
      <w:r>
        <w:rPr>
          <w:sz w:val="22"/>
          <w:szCs w:val="22"/>
        </w:rPr>
        <w:t xml:space="preserve">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w:t>
      </w:r>
      <w:bookmarkStart w:id="0" w:name="undefined"/>
      <w:r/>
      <w:bookmarkEnd w:id="0"/>
      <w:r>
        <w:rPr>
          <w:sz w:val="22"/>
          <w:szCs w:val="22"/>
        </w:rPr>
        <w:t xml:space="preserve">их документов:</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 заверенные копии документов, подтверждающих полномочия и подпис</w:t>
      </w:r>
      <w:r>
        <w:rPr>
          <w:sz w:val="22"/>
          <w:szCs w:val="22"/>
        </w:rPr>
        <w:t xml:space="preserve">ь лица, подписавшего требование.</w:t>
      </w:r>
      <w:r/>
      <w:r/>
    </w:p>
    <w:p>
      <w:pPr>
        <w:pStyle w:val="1016"/>
        <w:ind w:left="0" w:firstLine="709"/>
        <w:jc w:val="both"/>
        <w:keepNext/>
        <w:spacing w:before="120" w:after="120"/>
        <w:shd w:val="clear" w:color="auto" w:fill="ffffff"/>
        <w:widowControl w:val="off"/>
        <w:tabs>
          <w:tab w:val="left" w:pos="0" w:leader="none"/>
          <w:tab w:val="num" w:pos="1134" w:leader="none"/>
        </w:tabs>
      </w:pPr>
      <w:r>
        <w:rPr>
          <w:sz w:val="22"/>
          <w:szCs w:val="22"/>
        </w:rPr>
        <w:t xml:space="preserve">-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r/>
      <w:r/>
    </w:p>
    <w:p>
      <w:pPr>
        <w:pStyle w:val="1016"/>
        <w:ind w:left="0" w:firstLine="709"/>
        <w:jc w:val="both"/>
        <w:keepNext/>
        <w:spacing w:before="120" w:after="120"/>
        <w:shd w:val="clear" w:color="auto" w:fill="ffffff"/>
        <w:widowControl w:val="off"/>
        <w:tabs>
          <w:tab w:val="num" w:pos="0" w:leader="none"/>
        </w:tabs>
      </w:pPr>
      <w:r>
        <w:rPr>
          <w:sz w:val="22"/>
          <w:szCs w:val="22"/>
        </w:rPr>
        <w:t xml:space="preserve">- другие документы, предусмотренные </w:t>
      </w:r>
      <w:r>
        <w:rPr>
          <w:sz w:val="22"/>
          <w:szCs w:val="22"/>
        </w:rPr>
        <w:t xml:space="preserve">законодательством РФ в применении к </w:t>
      </w:r>
      <w:r>
        <w:rPr>
          <w:sz w:val="22"/>
          <w:szCs w:val="22"/>
        </w:rPr>
        <w:t xml:space="preserve">банковским</w:t>
      </w:r>
      <w:r>
        <w:rPr>
          <w:sz w:val="22"/>
          <w:szCs w:val="22"/>
        </w:rPr>
        <w:t xml:space="preserve"> гарантиям.</w:t>
      </w:r>
      <w:r/>
      <w:r/>
    </w:p>
    <w:p>
      <w:pPr>
        <w:ind w:firstLine="777"/>
        <w:jc w:val="both"/>
        <w:keepNext/>
        <w:spacing w:before="120" w:after="120"/>
        <w:shd w:val="clear" w:color="auto" w:fill="ffffff"/>
        <w:widowControl w:val="off"/>
        <w:tabs>
          <w:tab w:val="num" w:pos="0" w:leader="none"/>
        </w:tabs>
      </w:pPr>
      <w:r>
        <w:rPr>
          <w:sz w:val="22"/>
          <w:szCs w:val="22"/>
        </w:rPr>
        <w:t xml:space="preserve">9.4.1</w:t>
      </w:r>
      <w:r>
        <w:rPr>
          <w:sz w:val="22"/>
          <w:szCs w:val="22"/>
        </w:rPr>
        <w:t xml:space="preserve">3</w:t>
      </w:r>
      <w:r>
        <w:rPr>
          <w:sz w:val="22"/>
          <w:szCs w:val="22"/>
        </w:rPr>
        <w:t xml:space="preserve">. В </w:t>
      </w:r>
      <w:r>
        <w:rPr>
          <w:sz w:val="22"/>
          <w:szCs w:val="22"/>
        </w:rPr>
        <w:t xml:space="preserve">банковской</w:t>
      </w:r>
      <w:r>
        <w:rPr>
          <w:sz w:val="22"/>
          <w:szCs w:val="22"/>
        </w:rPr>
        <w:t xml:space="preserve"> гарантии не должно содержаться не документарных условий (без указания документов, подтверждающих соответствующий факт).</w:t>
      </w:r>
      <w:r/>
      <w:r/>
    </w:p>
    <w:p>
      <w:pPr>
        <w:ind w:firstLine="777"/>
        <w:jc w:val="both"/>
        <w:keepNext/>
        <w:spacing w:before="120" w:after="120"/>
        <w:shd w:val="clear" w:color="auto" w:fill="ffffff"/>
        <w:widowControl w:val="off"/>
        <w:tabs>
          <w:tab w:val="num" w:pos="0" w:leader="none"/>
        </w:tabs>
      </w:pPr>
      <w:r>
        <w:rPr>
          <w:sz w:val="22"/>
          <w:szCs w:val="22"/>
        </w:rPr>
        <w:t xml:space="preserve">9.4.1</w:t>
      </w:r>
      <w:r>
        <w:rPr>
          <w:sz w:val="22"/>
          <w:szCs w:val="22"/>
        </w:rPr>
        <w:t xml:space="preserve">4</w:t>
      </w:r>
      <w:r>
        <w:rPr>
          <w:sz w:val="22"/>
          <w:szCs w:val="22"/>
        </w:rPr>
        <w:t xml:space="preserve">. При составлении текста </w:t>
      </w:r>
      <w:r>
        <w:rPr>
          <w:sz w:val="22"/>
          <w:szCs w:val="22"/>
        </w:rPr>
        <w:t xml:space="preserve">банковской</w:t>
      </w:r>
      <w:r>
        <w:rPr>
          <w:sz w:val="22"/>
          <w:szCs w:val="22"/>
        </w:rPr>
        <w:t xml:space="preserve"> гарантии необходимо учитывать принцип независимости </w:t>
      </w:r>
      <w:r>
        <w:rPr>
          <w:sz w:val="22"/>
          <w:szCs w:val="22"/>
        </w:rPr>
        <w:t xml:space="preserve">гарантии от условий договора/контракта. В банковской</w:t>
      </w:r>
      <w:r>
        <w:rPr>
          <w:sz w:val="22"/>
          <w:szCs w:val="22"/>
        </w:rPr>
        <w:t xml:space="preserve"> гарантии не должно быть условий или требований, противоречащих вышеизложенному.</w:t>
      </w:r>
      <w:r/>
      <w:r/>
    </w:p>
    <w:p>
      <w:pPr>
        <w:ind w:firstLine="777"/>
        <w:jc w:val="both"/>
        <w:keepNext/>
        <w:spacing w:before="120" w:after="120"/>
        <w:shd w:val="clear" w:color="auto" w:fill="ffffff"/>
        <w:widowControl w:val="off"/>
        <w:tabs>
          <w:tab w:val="num" w:pos="0" w:leader="none"/>
        </w:tabs>
      </w:pPr>
      <w:r>
        <w:rPr>
          <w:sz w:val="22"/>
          <w:szCs w:val="22"/>
        </w:rPr>
        <w:t xml:space="preserve">9.4.1</w:t>
      </w:r>
      <w:r>
        <w:rPr>
          <w:sz w:val="22"/>
          <w:szCs w:val="22"/>
        </w:rPr>
        <w:t xml:space="preserve">5</w:t>
      </w:r>
      <w:r>
        <w:rPr>
          <w:sz w:val="22"/>
          <w:szCs w:val="22"/>
        </w:rPr>
        <w:t xml:space="preserve">. </w:t>
      </w:r>
      <w:r>
        <w:rPr>
          <w:sz w:val="22"/>
          <w:szCs w:val="22"/>
        </w:rPr>
        <w:t xml:space="preserve">Банковская</w:t>
      </w:r>
      <w:r>
        <w:rPr>
          <w:sz w:val="22"/>
          <w:szCs w:val="22"/>
        </w:rPr>
        <w:t xml:space="preserve"> гарантия должна быть выдана Гарантом, согласованным и одобренным Бенефициаром до выдачи гарантии.</w:t>
      </w:r>
      <w:r/>
      <w:r/>
    </w:p>
    <w:p>
      <w:pPr>
        <w:ind w:firstLine="777"/>
        <w:jc w:val="both"/>
        <w:keepNext/>
        <w:spacing w:before="120" w:after="120"/>
        <w:shd w:val="clear" w:color="auto" w:fill="ffffff"/>
        <w:widowControl w:val="off"/>
        <w:tabs>
          <w:tab w:val="num" w:pos="0" w:leader="none"/>
        </w:tabs>
      </w:pPr>
      <w:r>
        <w:rPr>
          <w:sz w:val="22"/>
          <w:szCs w:val="22"/>
        </w:rPr>
        <w:t xml:space="preserve">9.4.</w:t>
      </w:r>
      <w:r>
        <w:rPr>
          <w:sz w:val="22"/>
          <w:szCs w:val="22"/>
        </w:rPr>
        <w:t xml:space="preserve">1</w:t>
      </w:r>
      <w:r>
        <w:rPr>
          <w:sz w:val="22"/>
          <w:szCs w:val="22"/>
        </w:rPr>
        <w:t xml:space="preserve">6</w:t>
      </w:r>
      <w:r>
        <w:rPr>
          <w:sz w:val="22"/>
          <w:szCs w:val="22"/>
        </w:rPr>
        <w:t xml:space="preserve">. В </w:t>
      </w:r>
      <w:r>
        <w:rPr>
          <w:sz w:val="22"/>
          <w:szCs w:val="22"/>
        </w:rPr>
        <w:t xml:space="preserve">банковской</w:t>
      </w:r>
      <w:r>
        <w:rPr>
          <w:sz w:val="22"/>
          <w:szCs w:val="22"/>
        </w:rPr>
        <w:t xml:space="preserve"> гарантии должно быть указано, что обязательство Гаранта перед Бенефициаром ограничено уплатой суммы, на которую выдана гарантия.</w:t>
      </w:r>
      <w:r/>
      <w:r/>
    </w:p>
    <w:p>
      <w:pPr>
        <w:ind w:firstLine="777"/>
        <w:jc w:val="both"/>
        <w:keepNext/>
        <w:spacing w:before="120" w:after="120"/>
        <w:shd w:val="clear" w:color="auto" w:fill="ffffff"/>
        <w:widowControl w:val="off"/>
        <w:tabs>
          <w:tab w:val="num" w:pos="0" w:leader="none"/>
        </w:tabs>
        <w:rPr>
          <w:sz w:val="22"/>
          <w:szCs w:val="22"/>
        </w:rPr>
      </w:pPr>
      <w:r>
        <w:rPr>
          <w:sz w:val="22"/>
          <w:szCs w:val="22"/>
        </w:rPr>
        <w:t xml:space="preserve">9.4.</w:t>
      </w:r>
      <w:r>
        <w:rPr>
          <w:sz w:val="22"/>
          <w:szCs w:val="22"/>
        </w:rPr>
        <w:t xml:space="preserve">17</w:t>
      </w:r>
      <w:r>
        <w:rPr>
          <w:sz w:val="22"/>
          <w:szCs w:val="22"/>
        </w:rPr>
        <w:t xml:space="preserve">. В </w:t>
      </w:r>
      <w:r>
        <w:rPr>
          <w:sz w:val="22"/>
          <w:szCs w:val="22"/>
        </w:rPr>
        <w:t xml:space="preserve">банковской</w:t>
      </w:r>
      <w:r>
        <w:rPr>
          <w:sz w:val="22"/>
          <w:szCs w:val="22"/>
        </w:rPr>
        <w:t xml:space="preserve"> гарантии должно быть указано, что Ответственность Гаранта перед Бенефициаром за невыпол</w:t>
      </w:r>
      <w:r>
        <w:rPr>
          <w:sz w:val="22"/>
          <w:szCs w:val="22"/>
        </w:rPr>
        <w:t xml:space="preserve">нение или ненадлежащее выполнение обязательства по гарантии не ограничена суммой, на которую выдана гарантия</w:t>
      </w:r>
      <w:r>
        <w:rPr>
          <w:sz w:val="22"/>
          <w:szCs w:val="22"/>
        </w:rPr>
        <w:t xml:space="preserve">.</w:t>
      </w:r>
      <w:r>
        <w:rPr>
          <w:sz w:val="22"/>
          <w:szCs w:val="22"/>
        </w:rPr>
      </w:r>
      <w:r>
        <w:rPr>
          <w:sz w:val="22"/>
          <w:szCs w:val="22"/>
        </w:rPr>
      </w:r>
    </w:p>
    <w:p>
      <w:pPr>
        <w:ind w:firstLine="777"/>
        <w:jc w:val="both"/>
        <w:keepNext/>
        <w:spacing w:before="120" w:after="120"/>
        <w:shd w:val="clear" w:color="auto" w:fill="ffffff"/>
        <w:widowControl w:val="off"/>
        <w:tabs>
          <w:tab w:val="num" w:pos="0" w:leader="none"/>
        </w:tabs>
        <w:rPr>
          <w:sz w:val="22"/>
          <w:szCs w:val="22"/>
        </w:rPr>
      </w:pPr>
      <w:r>
        <w:rPr>
          <w:sz w:val="22"/>
          <w:szCs w:val="22"/>
        </w:rPr>
        <w:t xml:space="preserve">9.4.</w:t>
      </w:r>
      <w:r>
        <w:rPr>
          <w:sz w:val="22"/>
          <w:szCs w:val="22"/>
        </w:rPr>
        <w:t xml:space="preserve">18</w:t>
      </w:r>
      <w:r>
        <w:rPr>
          <w:sz w:val="22"/>
          <w:szCs w:val="22"/>
        </w:rPr>
        <w:t xml:space="preserve">. </w:t>
      </w:r>
      <w:r>
        <w:rPr>
          <w:sz w:val="22"/>
          <w:szCs w:val="22"/>
        </w:rPr>
        <w:t xml:space="preserve">Банковская</w:t>
      </w:r>
      <w:r>
        <w:rPr>
          <w:sz w:val="22"/>
          <w:szCs w:val="22"/>
        </w:rPr>
        <w:t xml:space="preserve"> гарантия не может быть передана третьему лицу, если в ее условиях отдельно не указано иное.</w:t>
      </w:r>
      <w:r>
        <w:rPr>
          <w:sz w:val="22"/>
          <w:szCs w:val="22"/>
        </w:rPr>
      </w:r>
      <w:r>
        <w:rPr>
          <w:sz w:val="22"/>
          <w:szCs w:val="22"/>
        </w:rPr>
      </w:r>
    </w:p>
    <w:p>
      <w:pPr>
        <w:ind w:firstLine="777"/>
        <w:jc w:val="both"/>
        <w:keepNext/>
        <w:spacing w:before="120" w:after="120"/>
        <w:shd w:val="clear" w:color="auto" w:fill="ffffff"/>
        <w:widowControl w:val="off"/>
        <w:tabs>
          <w:tab w:val="num" w:pos="0" w:leader="none"/>
        </w:tabs>
      </w:pPr>
      <w:r>
        <w:rPr>
          <w:sz w:val="22"/>
          <w:szCs w:val="22"/>
        </w:rPr>
        <w:t xml:space="preserve">9.4.</w:t>
      </w:r>
      <w:r>
        <w:rPr>
          <w:sz w:val="22"/>
          <w:szCs w:val="22"/>
        </w:rPr>
        <w:t xml:space="preserve">19</w:t>
      </w:r>
      <w:r>
        <w:rPr>
          <w:sz w:val="22"/>
          <w:szCs w:val="22"/>
        </w:rPr>
        <w:t xml:space="preserve">. В банковской</w:t>
      </w:r>
      <w:r>
        <w:rPr>
          <w:sz w:val="22"/>
          <w:szCs w:val="22"/>
        </w:rPr>
        <w:t xml:space="preserve"> гарантии должна быть указана сторона, ответственная за оплату тех или иных расходов, связанных с выдачей или исполнением т</w:t>
      </w:r>
      <w:r>
        <w:rPr>
          <w:sz w:val="22"/>
          <w:szCs w:val="22"/>
        </w:rPr>
        <w:t xml:space="preserve">ребований по гарантии.</w:t>
      </w:r>
      <w:r/>
      <w:r/>
    </w:p>
    <w:p>
      <w:pPr>
        <w:ind w:firstLine="777"/>
        <w:jc w:val="both"/>
        <w:keepNext/>
        <w:spacing w:before="120" w:after="120"/>
        <w:shd w:val="clear" w:color="auto" w:fill="ffffff"/>
        <w:widowControl w:val="off"/>
        <w:tabs>
          <w:tab w:val="num" w:pos="0" w:leader="none"/>
        </w:tabs>
      </w:pPr>
      <w:r>
        <w:rPr>
          <w:sz w:val="22"/>
          <w:szCs w:val="22"/>
        </w:rPr>
        <w:t xml:space="preserve">9.4.20</w:t>
      </w:r>
      <w:r>
        <w:rPr>
          <w:sz w:val="22"/>
          <w:szCs w:val="22"/>
        </w:rPr>
        <w:t xml:space="preserve">. В условиях банковской</w:t>
      </w:r>
      <w:r>
        <w:rPr>
          <w:sz w:val="22"/>
          <w:szCs w:val="22"/>
        </w:rPr>
        <w:t xml:space="preserve"> гарантии должно быть указано применимое право.</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9.5. В случае отзыва в соответствии с законодательст</w:t>
      </w:r>
      <w:r>
        <w:rPr>
          <w:sz w:val="22"/>
          <w:szCs w:val="22"/>
        </w:rPr>
        <w:t xml:space="preserve">вом Российской Федерации у Гаранта, предоставившего банковскую</w:t>
      </w:r>
      <w:r>
        <w:rPr>
          <w:sz w:val="22"/>
          <w:szCs w:val="22"/>
        </w:rPr>
        <w:t xml:space="preserve"> гарантию в качестве обеспечения исполнения Договора, лицензии на осуществление банковских операций Поставщик/Принципал обязуется предоставить новое обеспечение исполнения Договора не позднее 3</w:t>
      </w:r>
      <w:r>
        <w:rPr>
          <w:sz w:val="22"/>
          <w:szCs w:val="22"/>
        </w:rPr>
        <w:t xml:space="preserve">0 (тридцати) календарных дней со дня уведомления Покупателем Поставщика/Принципала о необходимости предоставить соответствующее обеспечение.</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9.6. В случае предоставления в качестве обеспечения исполнения Договора поручительства аффилированного лица, такое </w:t>
      </w:r>
      <w:r>
        <w:rPr>
          <w:sz w:val="22"/>
          <w:szCs w:val="22"/>
        </w:rPr>
        <w:t xml:space="preserve">поручительство должно соответствовать требованиям, установленным статьями </w:t>
      </w:r>
      <w:r>
        <w:rPr>
          <w:sz w:val="22"/>
          <w:szCs w:val="22"/>
        </w:rPr>
        <w:t xml:space="preserve">361 – 367 Гражданского кодекса Российской Федерации.</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9.7. Поручительство аффилированного с Поставщиком лица может быть предоставлено в качестве обеспечения исполнения договора только</w:t>
      </w:r>
      <w:r>
        <w:rPr>
          <w:sz w:val="22"/>
          <w:szCs w:val="22"/>
        </w:rPr>
        <w:t xml:space="preserve">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w:t>
      </w:r>
      <w:r>
        <w:rPr>
          <w:sz w:val="22"/>
          <w:szCs w:val="22"/>
        </w:rPr>
        <w:t xml:space="preserve">а иностранными государствами введены ограничительные меры, при этом такое аффилированное лицо должно:</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а)</w:t>
      </w:r>
      <w:r>
        <w:rPr>
          <w:sz w:val="22"/>
          <w:szCs w:val="22"/>
        </w:rPr>
        <w:tab/>
        <w:t xml:space="preserve">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w:t>
      </w:r>
      <w:r>
        <w:rPr>
          <w:sz w:val="22"/>
          <w:szCs w:val="22"/>
        </w:rPr>
        <w:t xml:space="preserve">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б)</w:t>
      </w:r>
      <w:r>
        <w:rPr>
          <w:sz w:val="22"/>
          <w:szCs w:val="22"/>
        </w:rPr>
        <w:tab/>
        <w:t xml:space="preserve">представить Покупателю сведения, подтверждающие платежеспособность аффилированного лица, в том </w:t>
      </w:r>
      <w:r>
        <w:rPr>
          <w:sz w:val="22"/>
          <w:szCs w:val="22"/>
        </w:rPr>
        <w:t xml:space="preserve">числе его ежегодную и ежеквартальную бухгалтерскую (финансовую) отчетность;</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в)</w:t>
      </w:r>
      <w:r>
        <w:rPr>
          <w:sz w:val="22"/>
          <w:szCs w:val="22"/>
        </w:rPr>
        <w:tab/>
        <w:t xml:space="preserve">принять обязательство письменно извещать Покупателя в течение 3-х рабочих дней со дня наступления следующих событий:</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 предъявление к аффилированному лицу имущественных требован</w:t>
      </w:r>
      <w:r>
        <w:rPr>
          <w:sz w:val="22"/>
          <w:szCs w:val="22"/>
        </w:rPr>
        <w:t xml:space="preserve">ий, превышающих 10 процентов балансовой стоимости активов аффилированного лица со стороны третьих лиц;</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 изменение местонахождения, учредительных документов, органов управления аффилированного лица, бан</w:t>
      </w:r>
      <w:r>
        <w:rPr>
          <w:sz w:val="22"/>
          <w:szCs w:val="22"/>
        </w:rPr>
        <w:t xml:space="preserve">ковских реквизитов аффилированного лица;</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 принятие решения о реорганизации или ликвидации аффилированного лица;</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 принятие судом к производству заявления о признании аффилированного лица несостоятельным (банкротом).</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При наступлении одного из указанных соб</w:t>
      </w:r>
      <w:r>
        <w:rPr>
          <w:sz w:val="22"/>
          <w:szCs w:val="22"/>
        </w:rPr>
        <w:t xml:space="preserve">ытий Покупатель вправе требовать замены поручительства аффилированного лица на банковскую</w:t>
      </w:r>
      <w:r>
        <w:rPr>
          <w:sz w:val="22"/>
          <w:szCs w:val="22"/>
        </w:rPr>
        <w:t xml:space="preserve"> гарантию, на поручительство иного аффилированного лица, иное обеспечение обязательств.</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9.8. Ответственность Поручителя перед Покупателем за надлежащее исполнение Пос</w:t>
      </w:r>
      <w:r>
        <w:rPr>
          <w:sz w:val="22"/>
          <w:szCs w:val="22"/>
        </w:rPr>
        <w:t xml:space="preserve">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w:t>
      </w:r>
      <w:r>
        <w:rPr>
          <w:sz w:val="22"/>
          <w:szCs w:val="22"/>
        </w:rPr>
        <w:t xml:space="preserve">тавщика и/или Поручителя.</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9.9.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w:t>
      </w:r>
      <w:r>
        <w:rPr>
          <w:sz w:val="22"/>
          <w:szCs w:val="22"/>
        </w:rPr>
        <w:t xml:space="preserve">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9.10. Уменьшение размера обеспечения исполнения Договора осуществляется при ус</w:t>
      </w:r>
      <w:r>
        <w:rPr>
          <w:sz w:val="22"/>
          <w:szCs w:val="22"/>
        </w:rPr>
        <w:t xml:space="preserve">ловии отсутствия неисполненных Поставщиком требований об уплате неустоек (штрафов, пеней), предъявленных Покупателем, а также приемки части обязательств в объеме, превышающем выплаченный аванс (если Договором предусмотрена выплата аванса).</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9.11. В случае п</w:t>
      </w:r>
      <w:r>
        <w:rPr>
          <w:sz w:val="22"/>
          <w:szCs w:val="22"/>
        </w:rPr>
        <w:t xml:space="preserve">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9.12. Срок возврата Покупателем Поставщику денежных средств, внесенных в качестве обеспечения и</w:t>
      </w:r>
      <w:r>
        <w:rPr>
          <w:sz w:val="22"/>
          <w:szCs w:val="22"/>
        </w:rPr>
        <w:t xml:space="preserve">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9.13. В случае уменьшения размера обеспечения испол</w:t>
      </w:r>
      <w:r>
        <w:rPr>
          <w:sz w:val="22"/>
          <w:szCs w:val="22"/>
        </w:rPr>
        <w:t xml:space="preserve">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w:t>
      </w:r>
      <w:r>
        <w:rPr>
          <w:sz w:val="22"/>
          <w:szCs w:val="22"/>
        </w:rPr>
        <w:t xml:space="preserve">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w:t>
      </w:r>
      <w:r>
        <w:rPr>
          <w:sz w:val="22"/>
          <w:szCs w:val="22"/>
        </w:rPr>
        <w:t xml:space="preserve"> Поставщика.</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9.14. Обязательства Покупателя по возврату денежных средств в счет обеспечения исполнения Договора </w:t>
      </w:r>
      <w:r>
        <w:rPr>
          <w:sz w:val="22"/>
          <w:szCs w:val="22"/>
        </w:rPr>
        <w:t xml:space="preserve">считаются исполненными с момента списания денежных средств со счета Покупателя.</w:t>
      </w:r>
      <w:r/>
      <w:r/>
    </w:p>
    <w:p>
      <w:pPr>
        <w:ind w:firstLine="709"/>
        <w:jc w:val="both"/>
        <w:keepNext/>
        <w:spacing w:before="120" w:after="120"/>
        <w:shd w:val="clear" w:color="auto" w:fill="ffffff"/>
        <w:widowControl w:val="off"/>
        <w:tabs>
          <w:tab w:val="left" w:pos="0" w:leader="none"/>
          <w:tab w:val="num" w:pos="1134" w:leader="none"/>
        </w:tabs>
      </w:pPr>
      <w:r>
        <w:rPr>
          <w:sz w:val="22"/>
          <w:szCs w:val="22"/>
        </w:rPr>
        <w:t xml:space="preserve">9.15. Денежные средства, внесенные Поставщиком в качестве обеспе</w:t>
      </w:r>
      <w:r>
        <w:rPr>
          <w:sz w:val="22"/>
          <w:szCs w:val="22"/>
        </w:rPr>
        <w:t xml:space="preserve">чения исполнения Договора, Поставщику не возвращаются в случае неисполнения, ненадлежащего исполнения Поставщиком обязательств, указанных в пункте 9.1.</w:t>
      </w:r>
      <w:r/>
      <w:r/>
    </w:p>
    <w:p>
      <w:pPr>
        <w:pStyle w:val="1001"/>
        <w:ind w:left="0" w:right="261" w:firstLine="0"/>
        <w:keepNext/>
        <w:spacing w:before="200" w:after="200"/>
        <w:widowControl w:val="off"/>
        <w:tabs>
          <w:tab w:val="left" w:pos="1134" w:leader="none"/>
        </w:tabs>
        <w:rPr>
          <w:b/>
          <w:sz w:val="22"/>
          <w:szCs w:val="22"/>
        </w:rPr>
      </w:pPr>
      <w:r>
        <w:rPr>
          <w:b/>
          <w:sz w:val="22"/>
          <w:szCs w:val="22"/>
        </w:rPr>
        <w:t xml:space="preserve">10. АНТИКОРРУПЦИОННАЯ ОГОВОРКА</w:t>
      </w:r>
      <w:r>
        <w:rPr>
          <w:b/>
          <w:sz w:val="22"/>
          <w:szCs w:val="22"/>
        </w:rPr>
      </w:r>
      <w:r>
        <w:rPr>
          <w:b/>
          <w:sz w:val="22"/>
          <w:szCs w:val="22"/>
        </w:rPr>
      </w:r>
    </w:p>
    <w:p>
      <w:pPr>
        <w:pStyle w:val="1031"/>
        <w:contextualSpacing/>
        <w:ind w:left="0" w:firstLine="0"/>
        <w:tabs>
          <w:tab w:val="clear" w:pos="432" w:leader="none"/>
          <w:tab w:val="num" w:pos="4395" w:leader="none"/>
        </w:tabs>
        <w:rPr>
          <w:sz w:val="22"/>
        </w:rPr>
      </w:pPr>
      <w:r>
        <w:rPr>
          <w:sz w:val="22"/>
        </w:rPr>
        <w:t xml:space="preserve">10.1. Поставщику известно о том, что Покупатель ведет антикоррупционную политику и развивает не допускающую коррупционных проявлений культуру.</w:t>
      </w:r>
      <w:r>
        <w:rPr>
          <w:sz w:val="22"/>
        </w:rPr>
      </w:r>
      <w:r>
        <w:rPr>
          <w:sz w:val="22"/>
        </w:rPr>
      </w:r>
    </w:p>
    <w:p>
      <w:pPr>
        <w:ind w:firstLine="567"/>
        <w:jc w:val="both"/>
        <w:tabs>
          <w:tab w:val="num" w:pos="432" w:leader="none"/>
          <w:tab w:val="left" w:pos="851" w:leader="none"/>
        </w:tabs>
        <w:rPr>
          <w:sz w:val="22"/>
        </w:rPr>
      </w:pPr>
      <w:r>
        <w:rPr>
          <w:sz w:val="22"/>
        </w:rPr>
        <w:t xml:space="preserve">При исполнении своих обязательств по Договору, Стороны, их аффилированные лица, работники или посредники не выплачивают, не п</w:t>
      </w:r>
      <w:r>
        <w:rPr>
          <w:sz w:val="22"/>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sz w:val="22"/>
        </w:rPr>
      </w:r>
      <w:r>
        <w:rPr>
          <w:sz w:val="22"/>
        </w:rPr>
      </w:r>
    </w:p>
    <w:p>
      <w:pPr>
        <w:ind w:firstLine="567"/>
        <w:jc w:val="both"/>
        <w:tabs>
          <w:tab w:val="num" w:pos="432" w:leader="none"/>
          <w:tab w:val="left" w:pos="851" w:leader="none"/>
        </w:tabs>
        <w:rPr>
          <w:bCs/>
          <w:sz w:val="22"/>
        </w:rPr>
      </w:pPr>
      <w:r>
        <w:rPr>
          <w:sz w:val="22"/>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настоящего Д</w:t>
      </w:r>
      <w:r>
        <w:rPr>
          <w:sz w:val="22"/>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bCs/>
          <w:sz w:val="22"/>
        </w:rPr>
      </w:r>
      <w:r>
        <w:rPr>
          <w:bCs/>
          <w:sz w:val="22"/>
        </w:rPr>
      </w:r>
    </w:p>
    <w:p>
      <w:pPr>
        <w:ind w:firstLine="567"/>
        <w:jc w:val="both"/>
        <w:tabs>
          <w:tab w:val="num" w:pos="432" w:leader="none"/>
          <w:tab w:val="left" w:pos="851" w:leader="none"/>
        </w:tabs>
        <w:rPr>
          <w:sz w:val="22"/>
        </w:rPr>
      </w:pPr>
      <w:r>
        <w:rPr>
          <w:sz w:val="22"/>
        </w:rPr>
        <w:t xml:space="preserve">В случае возникновения у Стороны подозрений, что со Стороны-контрагента и (или) его представителя, и (или) работника, и (или) его аффилированн</w:t>
      </w:r>
      <w:r>
        <w:rPr>
          <w:sz w:val="22"/>
        </w:rPr>
        <w:t xml:space="preserve">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w:t>
      </w:r>
      <w:r>
        <w:rPr>
          <w:sz w:val="22"/>
        </w:rPr>
        <w:t xml:space="preserve">й Стороны (почтовые реквизиты Сторон указаны в Договоре). Сторона, направившая письменное уведомление, имеет право приостановить исполнение обязательств по Договору до получения подтверждения от другой Стороны, что нарушения не произошло или не произойдет.</w:t>
      </w:r>
      <w:r>
        <w:rPr>
          <w:bCs/>
          <w:sz w:val="22"/>
        </w:rPr>
        <w:t xml:space="preserve">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sz w:val="22"/>
        </w:rPr>
      </w:r>
      <w:r>
        <w:rPr>
          <w:sz w:val="22"/>
        </w:rPr>
      </w:r>
    </w:p>
    <w:p>
      <w:pPr>
        <w:ind w:firstLine="567"/>
        <w:jc w:val="both"/>
        <w:tabs>
          <w:tab w:val="num" w:pos="432" w:leader="none"/>
          <w:tab w:val="left" w:pos="993" w:leader="none"/>
        </w:tabs>
        <w:rPr>
          <w:bCs/>
          <w:sz w:val="22"/>
        </w:rPr>
      </w:pPr>
      <w:r>
        <w:rPr>
          <w:sz w:val="22"/>
        </w:rPr>
        <w:t xml:space="preserve">В письменном уведомлении Сторона обязана сослаться на факты или предоставить материалы, достов</w:t>
      </w:r>
      <w:r>
        <w:rPr>
          <w:sz w:val="22"/>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sz w:val="22"/>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bCs/>
          <w:sz w:val="22"/>
        </w:rPr>
      </w:r>
      <w:r>
        <w:rPr>
          <w:bCs/>
          <w:sz w:val="22"/>
        </w:rPr>
      </w:r>
    </w:p>
    <w:p>
      <w:pPr>
        <w:pStyle w:val="1031"/>
        <w:contextualSpacing/>
        <w:ind w:left="0" w:firstLine="0"/>
        <w:rPr>
          <w:sz w:val="22"/>
        </w:rPr>
      </w:pPr>
      <w:r>
        <w:rPr>
          <w:sz w:val="22"/>
        </w:rPr>
        <w:t xml:space="preserve">10.2. В случае нарушения одной Стороной обязательств воздерживаться от запрещенных в пункте 10.1. Договора действий и/или неполучения другой Стороной в уст</w:t>
      </w:r>
      <w:r>
        <w:rPr>
          <w:sz w:val="22"/>
        </w:rPr>
        <w:t xml:space="preserve">а</w:t>
      </w:r>
      <w:r>
        <w:rPr>
          <w:sz w:val="22"/>
        </w:rPr>
        <w:t xml:space="preserve">новленном пункте 10.1. Договора срок подтверждения, что нарушения не произошло или не произойдет, другая Сторона имеет право отказаться от исполнения Договора в одностороннем внесудебном порядке, направив соответствующее письменное уведомление. Сторона, по</w:t>
      </w:r>
      <w:r>
        <w:rPr>
          <w:sz w:val="22"/>
        </w:rPr>
        <w:t xml:space="preserve"> </w:t>
      </w:r>
      <w:r>
        <w:rPr>
          <w:sz w:val="22"/>
        </w:rPr>
        <w:t xml:space="preserve">чьей инициативе будет расторгнут Договор в соответствии с положениями пункта 10.1.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sz w:val="22"/>
        </w:rPr>
      </w:r>
      <w:r>
        <w:rPr>
          <w:sz w:val="22"/>
        </w:rPr>
      </w:r>
    </w:p>
    <w:p>
      <w:pPr>
        <w:pStyle w:val="1001"/>
        <w:ind w:left="0" w:right="261" w:firstLine="0"/>
        <w:keepNext/>
        <w:spacing w:before="200" w:after="200"/>
        <w:widowControl w:val="off"/>
        <w:tabs>
          <w:tab w:val="left" w:pos="1134" w:leader="none"/>
        </w:tabs>
        <w:rPr>
          <w:b/>
          <w:sz w:val="22"/>
          <w:szCs w:val="22"/>
        </w:rPr>
      </w:pPr>
      <w:r>
        <w:rPr>
          <w:b/>
          <w:sz w:val="22"/>
          <w:szCs w:val="22"/>
        </w:rPr>
        <w:t xml:space="preserve">11. НАЛОГОВАЯ ОГОВОРКА</w:t>
      </w:r>
      <w:r>
        <w:rPr>
          <w:b/>
          <w:sz w:val="22"/>
          <w:szCs w:val="22"/>
        </w:rPr>
      </w:r>
      <w:r>
        <w:rPr>
          <w:b/>
          <w:sz w:val="22"/>
          <w:szCs w:val="22"/>
        </w:rPr>
      </w:r>
    </w:p>
    <w:p>
      <w:pPr>
        <w:ind w:firstLine="567"/>
        <w:jc w:val="both"/>
        <w:rPr>
          <w:sz w:val="22"/>
        </w:rPr>
      </w:pPr>
      <w:r>
        <w:rPr>
          <w:sz w:val="22"/>
        </w:rPr>
        <w:t xml:space="preserve">11.1. Заверения об обстоятельствах:</w:t>
      </w:r>
      <w:r>
        <w:rPr>
          <w:sz w:val="22"/>
        </w:rPr>
      </w:r>
      <w:r>
        <w:rPr>
          <w:sz w:val="22"/>
        </w:rPr>
      </w:r>
    </w:p>
    <w:p>
      <w:pPr>
        <w:ind w:firstLine="567"/>
        <w:jc w:val="both"/>
        <w:rPr>
          <w:sz w:val="22"/>
        </w:rPr>
      </w:pPr>
      <w:r>
        <w:rPr>
          <w:sz w:val="22"/>
        </w:rPr>
        <w:t xml:space="preserve">В соответствии со статьей 431.2 Гражданского кодекса Российской Федерации Поставщик заверяет Покупателя, что на момент заключения Договора:</w:t>
      </w:r>
      <w:r>
        <w:rPr>
          <w:sz w:val="22"/>
        </w:rPr>
      </w:r>
      <w:r>
        <w:rPr>
          <w:sz w:val="22"/>
        </w:rPr>
      </w:r>
    </w:p>
    <w:p>
      <w:pPr>
        <w:ind w:firstLine="567"/>
        <w:jc w:val="both"/>
        <w:rPr>
          <w:sz w:val="22"/>
        </w:rPr>
      </w:pPr>
      <w:r>
        <w:rPr>
          <w:sz w:val="22"/>
        </w:rPr>
        <w:t xml:space="preserve">a)</w:t>
      </w:r>
      <w:r>
        <w:rPr>
          <w:sz w:val="22"/>
        </w:rPr>
        <w:tab/>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sz w:val="22"/>
        </w:rPr>
      </w:r>
      <w:r>
        <w:rPr>
          <w:sz w:val="22"/>
        </w:rPr>
      </w:r>
    </w:p>
    <w:p>
      <w:pPr>
        <w:ind w:firstLine="567"/>
        <w:jc w:val="both"/>
        <w:rPr>
          <w:sz w:val="22"/>
        </w:rPr>
      </w:pPr>
      <w:r>
        <w:rPr>
          <w:sz w:val="22"/>
        </w:rPr>
        <w:t xml:space="preserve">b)</w:t>
      </w:r>
      <w:r>
        <w:rPr>
          <w:sz w:val="22"/>
        </w:rPr>
        <w:tab/>
        <w:t xml:space="preserve">Поставщик, а также привлекаемые им в целях исполнения Договора лица (субподрядчики, </w:t>
      </w:r>
      <w:r>
        <w:rPr>
          <w:sz w:val="22"/>
        </w:rPr>
        <w:t xml:space="preserve">субисполнители</w:t>
      </w:r>
      <w:r>
        <w:rPr>
          <w:sz w:val="22"/>
        </w:rPr>
        <w:t xml:space="preserve">,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sz w:val="22"/>
        </w:rPr>
      </w:r>
      <w:r>
        <w:rPr>
          <w:sz w:val="22"/>
        </w:rPr>
      </w:r>
    </w:p>
    <w:p>
      <w:pPr>
        <w:ind w:firstLine="567"/>
        <w:jc w:val="both"/>
        <w:rPr>
          <w:sz w:val="22"/>
        </w:rPr>
      </w:pPr>
      <w:r>
        <w:rPr>
          <w:sz w:val="22"/>
        </w:rPr>
        <w:t xml:space="preserve">c)</w:t>
      </w:r>
      <w:r>
        <w:rPr>
          <w:sz w:val="22"/>
        </w:rPr>
        <w:tab/>
        <w:t xml:space="preserve">Поставщик, а также привлекаемые им в целях исполнения Договора лица (субподрядчики, </w:t>
      </w:r>
      <w:r>
        <w:rPr>
          <w:sz w:val="22"/>
        </w:rPr>
        <w:t xml:space="preserve">субисполнители</w:t>
      </w:r>
      <w:r>
        <w:rPr>
          <w:sz w:val="22"/>
        </w:rPr>
        <w:t xml:space="preserve">, субпоставщики и т.п.) являются добросовестными налогоплательщиками; в отношении каждого привлеченного лица (субподрядчика, </w:t>
      </w:r>
      <w:r>
        <w:rPr>
          <w:sz w:val="22"/>
        </w:rPr>
        <w:t xml:space="preserve">субисполнителя</w:t>
      </w:r>
      <w:r>
        <w:rPr>
          <w:sz w:val="22"/>
        </w:rPr>
        <w:t xml:space="preserve">,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r>
        <w:rPr>
          <w:sz w:val="22"/>
        </w:rPr>
      </w:r>
      <w:r>
        <w:rPr>
          <w:sz w:val="22"/>
        </w:rPr>
      </w:r>
    </w:p>
    <w:p>
      <w:pPr>
        <w:ind w:firstLine="567"/>
        <w:jc w:val="both"/>
        <w:rPr>
          <w:sz w:val="22"/>
        </w:rPr>
      </w:pPr>
      <w:r>
        <w:rPr>
          <w:sz w:val="22"/>
        </w:rPr>
        <w:t xml:space="preserve">d)</w:t>
      </w:r>
      <w:r>
        <w:rPr>
          <w:sz w:val="22"/>
        </w:rPr>
        <w:tab/>
        <w:t xml:space="preserve">обязательства по Договору будут исполняться непосредственно Поставщи</w:t>
      </w:r>
      <w:r>
        <w:rPr>
          <w:sz w:val="22"/>
        </w:rPr>
        <w:t xml:space="preserve">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r>
        <w:rPr>
          <w:sz w:val="22"/>
        </w:rPr>
      </w:r>
      <w:r>
        <w:rPr>
          <w:sz w:val="22"/>
        </w:rPr>
      </w:r>
    </w:p>
    <w:p>
      <w:pPr>
        <w:ind w:firstLine="567"/>
        <w:jc w:val="both"/>
        <w:rPr>
          <w:sz w:val="22"/>
        </w:rPr>
      </w:pPr>
      <w:r>
        <w:rPr>
          <w:sz w:val="22"/>
        </w:rPr>
        <w:t xml:space="preserve">Покупатель полагается на указанные в настоящем пункте заверения об обстоятельствах при заключении и исполнении Договора, каждое из указанных заверений имеет для Покупателя существенное значение.</w:t>
      </w:r>
      <w:r>
        <w:rPr>
          <w:sz w:val="22"/>
        </w:rPr>
      </w:r>
      <w:r>
        <w:rPr>
          <w:sz w:val="22"/>
        </w:rPr>
      </w:r>
    </w:p>
    <w:p>
      <w:pPr>
        <w:ind w:firstLine="567"/>
        <w:jc w:val="both"/>
        <w:rPr>
          <w:sz w:val="22"/>
        </w:rPr>
      </w:pPr>
      <w:r>
        <w:rPr>
          <w:sz w:val="22"/>
        </w:rPr>
        <w:t xml:space="preserve">11.2.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r>
        <w:rPr>
          <w:sz w:val="22"/>
        </w:rPr>
        <w:t xml:space="preserve">субисполнителей</w:t>
      </w:r>
      <w:r>
        <w:rPr>
          <w:sz w:val="22"/>
        </w:rPr>
        <w:t xml:space="preserve">, </w:t>
      </w:r>
      <w:r>
        <w:rPr>
          <w:sz w:val="22"/>
        </w:rPr>
        <w:t xml:space="preserve">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w:t>
      </w:r>
      <w:r>
        <w:rPr>
          <w:sz w:val="22"/>
        </w:rPr>
        <w:t xml:space="preserve">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rPr>
          <w:sz w:val="22"/>
        </w:rPr>
      </w:r>
      <w:r>
        <w:rPr>
          <w:sz w:val="22"/>
        </w:rPr>
      </w:r>
    </w:p>
    <w:p>
      <w:pPr>
        <w:ind w:firstLine="567"/>
        <w:tabs>
          <w:tab w:val="left" w:pos="567" w:leader="none"/>
          <w:tab w:val="left" w:pos="709" w:leader="none"/>
        </w:tabs>
        <w:rPr>
          <w:color w:val="000000" w:themeColor="text1"/>
          <w:sz w:val="22"/>
        </w:rPr>
      </w:pPr>
      <w:r>
        <w:rPr>
          <w:color w:val="000000" w:themeColor="text1"/>
          <w:sz w:val="22"/>
        </w:rPr>
        <w:t xml:space="preserve">11.3. Возмещение имущественных потерь:</w:t>
      </w:r>
      <w:r>
        <w:rPr>
          <w:color w:val="000000" w:themeColor="text1"/>
          <w:sz w:val="22"/>
        </w:rPr>
      </w:r>
      <w:r>
        <w:rPr>
          <w:color w:val="000000" w:themeColor="text1"/>
          <w:sz w:val="22"/>
        </w:rPr>
      </w:r>
    </w:p>
    <w:p>
      <w:pPr>
        <w:contextualSpacing/>
        <w:ind w:firstLine="567"/>
        <w:jc w:val="both"/>
        <w:tabs>
          <w:tab w:val="left" w:pos="709" w:leader="none"/>
        </w:tabs>
        <w:rPr>
          <w:color w:val="000000" w:themeColor="text1"/>
          <w:sz w:val="22"/>
        </w:rPr>
      </w:pPr>
      <w:r>
        <w:rPr>
          <w:color w:val="000000" w:themeColor="text1"/>
          <w:sz w:val="22"/>
        </w:rPr>
        <w:t xml:space="preserve">В соответствии со статьей 406.1 Гражданского кодекса Российской Федерации </w:t>
      </w:r>
      <w:r>
        <w:rPr>
          <w:iCs/>
          <w:color w:val="000000" w:themeColor="text1"/>
          <w:sz w:val="22"/>
        </w:rPr>
        <w:t xml:space="preserve">Поставщик</w:t>
      </w:r>
      <w:r>
        <w:rPr>
          <w:color w:val="000000" w:themeColor="text1"/>
          <w:sz w:val="22"/>
        </w:rPr>
        <w:t xml:space="preserve"> обязуется возместить </w:t>
      </w:r>
      <w:r>
        <w:rPr>
          <w:iCs/>
          <w:color w:val="000000" w:themeColor="text1"/>
          <w:sz w:val="22"/>
        </w:rPr>
        <w:t xml:space="preserve">Покупателю</w:t>
      </w:r>
      <w:r>
        <w:rPr>
          <w:color w:val="000000" w:themeColor="text1"/>
          <w:sz w:val="22"/>
        </w:rPr>
        <w:t xml:space="preserve"> полностью все его имущественные потери, возникшие в связи с неисполнением или ненадлежащим исполнением </w:t>
      </w:r>
      <w:r>
        <w:rPr>
          <w:iCs/>
          <w:color w:val="000000" w:themeColor="text1"/>
          <w:sz w:val="22"/>
        </w:rPr>
        <w:t xml:space="preserve">Поставщиком</w:t>
      </w:r>
      <w:r>
        <w:rPr>
          <w:color w:val="000000" w:themeColor="text1"/>
          <w:sz w:val="22"/>
        </w:rPr>
        <w:t xml:space="preserve"> своих налоговых обязанностей, либо в связи с привлечением и</w:t>
      </w:r>
      <w:r>
        <w:rPr>
          <w:color w:val="000000" w:themeColor="text1"/>
          <w:sz w:val="22"/>
        </w:rPr>
        <w:t xml:space="preserve">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Pr>
          <w:iCs/>
          <w:color w:val="000000" w:themeColor="text1"/>
          <w:sz w:val="22"/>
        </w:rPr>
        <w:t xml:space="preserve">Поставщика</w:t>
      </w:r>
      <w:r>
        <w:rPr>
          <w:color w:val="000000" w:themeColor="text1"/>
          <w:sz w:val="22"/>
        </w:rPr>
        <w:t xml:space="preserve"> в качестве своих контрагентов организаций, не исполняющих либо ненадлежащим образом исполняющих свои налоговы</w:t>
      </w:r>
      <w:r>
        <w:rPr>
          <w:color w:val="000000" w:themeColor="text1"/>
          <w:sz w:val="22"/>
        </w:rPr>
        <w:t xml:space="preserve">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r>
        <w:rPr>
          <w:color w:val="000000" w:themeColor="text1"/>
          <w:sz w:val="22"/>
        </w:rPr>
      </w:r>
      <w:r>
        <w:rPr>
          <w:color w:val="000000" w:themeColor="text1"/>
          <w:sz w:val="22"/>
        </w:rPr>
      </w:r>
    </w:p>
    <w:p>
      <w:pPr>
        <w:contextualSpacing/>
        <w:ind w:firstLine="567"/>
        <w:jc w:val="both"/>
        <w:tabs>
          <w:tab w:val="left" w:pos="460" w:leader="none"/>
          <w:tab w:val="left" w:pos="709" w:leader="none"/>
          <w:tab w:val="left" w:pos="993" w:leader="none"/>
        </w:tabs>
        <w:rPr>
          <w:color w:val="000000" w:themeColor="text1"/>
          <w:sz w:val="22"/>
        </w:rPr>
      </w:pPr>
      <w:r>
        <w:rPr>
          <w:color w:val="000000" w:themeColor="text1"/>
          <w:sz w:val="22"/>
        </w:rPr>
        <w:t xml:space="preserve">а) в порядке применения статьи 101 Налогового кодекса Российской Федерации налоговым органом в отношении Покупателя вынесено решени</w:t>
      </w:r>
      <w:r>
        <w:rPr>
          <w:color w:val="000000" w:themeColor="text1"/>
          <w:sz w:val="22"/>
        </w:rPr>
        <w:t xml:space="preserve">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Pr>
          <w:color w:val="000000" w:themeColor="text1"/>
          <w:sz w:val="22"/>
        </w:rPr>
      </w:r>
      <w:r>
        <w:rPr>
          <w:color w:val="000000" w:themeColor="text1"/>
          <w:sz w:val="22"/>
        </w:rPr>
      </w:r>
    </w:p>
    <w:p>
      <w:pPr>
        <w:contextualSpacing/>
        <w:ind w:firstLine="567"/>
        <w:jc w:val="both"/>
        <w:tabs>
          <w:tab w:val="left" w:pos="460" w:leader="none"/>
          <w:tab w:val="left" w:pos="709" w:leader="none"/>
        </w:tabs>
        <w:rPr>
          <w:color w:val="000000" w:themeColor="text1"/>
          <w:sz w:val="22"/>
        </w:rPr>
      </w:pPr>
      <w:r>
        <w:rPr>
          <w:color w:val="000000" w:themeColor="text1"/>
          <w:sz w:val="22"/>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r>
        <w:rPr>
          <w:color w:val="000000" w:themeColor="text1"/>
          <w:sz w:val="22"/>
        </w:rPr>
        <w:t xml:space="preserve">безакцептном</w:t>
      </w:r>
      <w:r>
        <w:rPr>
          <w:color w:val="000000" w:themeColor="text1"/>
          <w:sz w:val="22"/>
        </w:rPr>
        <w:t xml:space="preserve"> порядке или перечислены Покупателем добровольно (</w:t>
      </w:r>
      <w:r>
        <w:rPr>
          <w:iCs/>
          <w:color w:val="000000" w:themeColor="text1"/>
          <w:sz w:val="22"/>
        </w:rPr>
        <w:t xml:space="preserve">вследствие добровольного отказа Покупателя от применения вычета по операциям с Поставщиком)</w:t>
      </w:r>
      <w:r>
        <w:rPr>
          <w:color w:val="000000" w:themeColor="text1"/>
          <w:sz w:val="22"/>
        </w:rPr>
        <w:t xml:space="preserve"> в соответствии с решением налогового органа или, по мотивированному мнению, налогового органа.</w:t>
      </w:r>
      <w:r>
        <w:rPr>
          <w:color w:val="000000" w:themeColor="text1"/>
          <w:sz w:val="22"/>
        </w:rPr>
      </w:r>
      <w:r>
        <w:rPr>
          <w:color w:val="000000" w:themeColor="text1"/>
          <w:sz w:val="22"/>
        </w:rPr>
      </w:r>
    </w:p>
    <w:p>
      <w:pPr>
        <w:contextualSpacing/>
        <w:ind w:firstLine="567"/>
        <w:jc w:val="both"/>
        <w:tabs>
          <w:tab w:val="left" w:pos="460" w:leader="none"/>
          <w:tab w:val="left" w:pos="709" w:leader="none"/>
          <w:tab w:val="left" w:pos="993" w:leader="none"/>
        </w:tabs>
        <w:rPr>
          <w:color w:val="000000" w:themeColor="text1"/>
          <w:sz w:val="22"/>
        </w:rPr>
      </w:pPr>
      <w:r>
        <w:rPr>
          <w:iCs/>
          <w:color w:val="000000" w:themeColor="text1"/>
          <w:sz w:val="22"/>
        </w:rPr>
        <w:t xml:space="preserve">Размер имущественных потерь Покупателя определяется как совокупность следующих сумм:</w:t>
      </w:r>
      <w:bookmarkStart w:id="0" w:name="_Ref472935425"/>
      <w:r>
        <w:rPr>
          <w:color w:val="000000" w:themeColor="text1"/>
          <w:sz w:val="22"/>
        </w:rPr>
      </w:r>
      <w:r>
        <w:rPr>
          <w:color w:val="000000" w:themeColor="text1"/>
          <w:sz w:val="22"/>
        </w:rPr>
      </w:r>
    </w:p>
    <w:p>
      <w:pPr>
        <w:ind w:firstLine="567"/>
        <w:jc w:val="both"/>
        <w:tabs>
          <w:tab w:val="left" w:pos="709" w:leader="none"/>
        </w:tabs>
        <w:rPr>
          <w:color w:val="000000" w:themeColor="text1"/>
          <w:sz w:val="22"/>
        </w:rPr>
      </w:pPr>
      <w:r>
        <w:rPr>
          <w:color w:val="000000" w:themeColor="text1"/>
          <w:sz w:val="22"/>
        </w:rPr>
        <w:t xml:space="preserve">- суммы налога на прибыль и/или НДС, доначисленного Покупателю в связи с эпизодами, связанными с Поставщиком, </w:t>
      </w:r>
      <w:r>
        <w:rPr>
          <w:iCs/>
          <w:color w:val="000000" w:themeColor="text1"/>
          <w:sz w:val="22"/>
        </w:rPr>
        <w:t xml:space="preserve">или уплаченного Покупателем в бюджет вследствие добровольного отказа Покупателя от применения вычета по операциям с Поставщиком </w:t>
      </w:r>
      <w:r>
        <w:rPr>
          <w:color w:val="000000" w:themeColor="text1"/>
          <w:sz w:val="22"/>
        </w:rPr>
        <w:t xml:space="preserve">(«Доначисленные налоги»); плюс</w:t>
      </w:r>
      <w:bookmarkEnd w:id="0"/>
      <w:r>
        <w:rPr>
          <w:color w:val="000000" w:themeColor="text1"/>
          <w:sz w:val="22"/>
        </w:rPr>
      </w:r>
      <w:r>
        <w:rPr>
          <w:color w:val="000000" w:themeColor="text1"/>
          <w:sz w:val="22"/>
        </w:rPr>
      </w:r>
    </w:p>
    <w:p>
      <w:pPr>
        <w:ind w:firstLine="567"/>
        <w:jc w:val="both"/>
        <w:tabs>
          <w:tab w:val="left" w:pos="709" w:leader="none"/>
        </w:tabs>
        <w:rPr>
          <w:color w:val="000000" w:themeColor="text1"/>
          <w:sz w:val="22"/>
        </w:rPr>
      </w:pPr>
      <w:r/>
      <w:bookmarkStart w:id="1" w:name="_Ref472935822"/>
      <w:r>
        <w:rPr>
          <w:color w:val="000000" w:themeColor="text1"/>
          <w:sz w:val="22"/>
        </w:rPr>
        <w:t xml:space="preserve">-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bookmarkEnd w:id="1"/>
      <w:r>
        <w:rPr>
          <w:color w:val="000000" w:themeColor="text1"/>
          <w:sz w:val="22"/>
        </w:rPr>
      </w:r>
      <w:r>
        <w:rPr>
          <w:color w:val="000000" w:themeColor="text1"/>
          <w:sz w:val="22"/>
        </w:rPr>
      </w:r>
    </w:p>
    <w:p>
      <w:pPr>
        <w:ind w:firstLine="567"/>
        <w:jc w:val="both"/>
        <w:tabs>
          <w:tab w:val="left" w:pos="709" w:leader="none"/>
        </w:tabs>
        <w:rPr>
          <w:color w:val="000000" w:themeColor="text1"/>
          <w:sz w:val="22"/>
        </w:rPr>
      </w:pPr>
      <w:r>
        <w:rPr>
          <w:color w:val="000000" w:themeColor="text1"/>
          <w:sz w:val="22"/>
        </w:rPr>
        <w:t xml:space="preserve">-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r>
        <w:rPr>
          <w:color w:val="000000" w:themeColor="text1"/>
          <w:sz w:val="22"/>
        </w:rPr>
      </w:r>
      <w:r>
        <w:rPr>
          <w:color w:val="000000" w:themeColor="text1"/>
          <w:sz w:val="22"/>
        </w:rPr>
      </w:r>
    </w:p>
    <w:p>
      <w:pPr>
        <w:contextualSpacing/>
        <w:ind w:firstLine="567"/>
        <w:jc w:val="both"/>
        <w:tabs>
          <w:tab w:val="left" w:pos="460" w:leader="none"/>
          <w:tab w:val="left" w:pos="709" w:leader="none"/>
        </w:tabs>
        <w:rPr>
          <w:color w:val="000000" w:themeColor="text1"/>
          <w:sz w:val="22"/>
        </w:rPr>
      </w:pPr>
      <w:r>
        <w:rPr>
          <w:color w:val="000000" w:themeColor="text1"/>
          <w:sz w:val="22"/>
        </w:rPr>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r>
        <w:rPr>
          <w:color w:val="000000" w:themeColor="text1"/>
          <w:sz w:val="22"/>
        </w:rPr>
      </w:r>
      <w:r>
        <w:rPr>
          <w:color w:val="000000" w:themeColor="text1"/>
          <w:sz w:val="22"/>
        </w:rPr>
      </w:r>
    </w:p>
    <w:p>
      <w:pPr>
        <w:ind w:firstLine="567"/>
        <w:jc w:val="both"/>
        <w:tabs>
          <w:tab w:val="left" w:pos="709" w:leader="none"/>
        </w:tabs>
        <w:rPr>
          <w:rFonts w:eastAsia="Calibri"/>
          <w:color w:val="000000" w:themeColor="text1"/>
          <w:sz w:val="22"/>
        </w:rPr>
      </w:pPr>
      <w:r>
        <w:rPr>
          <w:rFonts w:eastAsia="Calibri"/>
          <w:color w:val="000000" w:themeColor="text1"/>
          <w:sz w:val="22"/>
        </w:rPr>
        <w:t xml:space="preserve">Покупатель</w:t>
      </w:r>
      <w:r>
        <w:rPr>
          <w:color w:val="000000" w:themeColor="text1"/>
          <w:sz w:val="22"/>
        </w:rPr>
        <w:t xml:space="preserve"> вправе удержать сумму возмещения потерь из иных расчетов по любым сделкам с </w:t>
      </w:r>
      <w:r>
        <w:rPr>
          <w:rFonts w:eastAsia="Calibri"/>
          <w:color w:val="000000" w:themeColor="text1"/>
          <w:sz w:val="22"/>
        </w:rPr>
        <w:t xml:space="preserve">Поставщиком (в том числе произвести зачет встречных однородных требований).</w:t>
      </w:r>
      <w:r>
        <w:rPr>
          <w:rFonts w:eastAsia="Calibri"/>
          <w:color w:val="000000" w:themeColor="text1"/>
          <w:sz w:val="22"/>
        </w:rPr>
      </w:r>
      <w:r>
        <w:rPr>
          <w:rFonts w:eastAsia="Calibri"/>
          <w:color w:val="000000" w:themeColor="text1"/>
          <w:sz w:val="22"/>
        </w:rPr>
      </w:r>
    </w:p>
    <w:p>
      <w:pPr>
        <w:contextualSpacing/>
        <w:ind w:firstLine="567"/>
        <w:jc w:val="both"/>
        <w:tabs>
          <w:tab w:val="left" w:pos="709" w:leader="none"/>
          <w:tab w:val="left" w:pos="2160" w:leader="none"/>
        </w:tabs>
        <w:rPr>
          <w:i/>
          <w:iCs/>
          <w:color w:val="000000" w:themeColor="text1"/>
          <w:sz w:val="22"/>
        </w:rPr>
      </w:pPr>
      <w:r>
        <w:rPr>
          <w:color w:val="000000" w:themeColor="text1"/>
          <w:sz w:val="22"/>
        </w:rPr>
        <w:t xml:space="preserve">11.4. Стороны согласовали следующую процедуру взаимодействия сторон по минимизации имущественных потерь</w:t>
      </w:r>
      <w:r>
        <w:rPr>
          <w:iCs/>
          <w:color w:val="000000" w:themeColor="text1"/>
          <w:sz w:val="22"/>
        </w:rPr>
        <w:t xml:space="preserve">:</w:t>
      </w:r>
      <w:r>
        <w:rPr>
          <w:i/>
          <w:iCs/>
          <w:color w:val="000000" w:themeColor="text1"/>
          <w:sz w:val="22"/>
        </w:rPr>
      </w:r>
      <w:r>
        <w:rPr>
          <w:i/>
          <w:iCs/>
          <w:color w:val="000000" w:themeColor="text1"/>
          <w:sz w:val="22"/>
        </w:rPr>
      </w:r>
    </w:p>
    <w:p>
      <w:pPr>
        <w:contextualSpacing/>
        <w:ind w:firstLine="567"/>
        <w:jc w:val="both"/>
        <w:tabs>
          <w:tab w:val="left" w:pos="709" w:leader="none"/>
          <w:tab w:val="left" w:pos="2160" w:leader="none"/>
        </w:tabs>
        <w:rPr>
          <w:color w:val="000000" w:themeColor="text1"/>
          <w:sz w:val="22"/>
        </w:rPr>
      </w:pPr>
      <w:r>
        <w:rPr>
          <w:color w:val="000000" w:themeColor="text1"/>
          <w:sz w:val="22"/>
        </w:rPr>
        <w:t xml:space="preserve">11.4.1.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19" w:tooltip="consultantplus://offline/ref=1ED926C427C39AC8B4A2C047CF32E07575853E0CBFE38D3B67FC8E7F8DA23A34E3C771A1CB28C283941D4505AB2E6195E2650623CFB118F6X7OBL" w:history="1">
        <w:r>
          <w:rPr>
            <w:color w:val="000000" w:themeColor="text1"/>
            <w:sz w:val="22"/>
          </w:rPr>
          <w:t xml:space="preserve">уведомления</w:t>
        </w:r>
      </w:hyperlink>
      <w:r>
        <w:rPr>
          <w:color w:val="000000" w:themeColor="text1"/>
          <w:sz w:val="22"/>
        </w:rPr>
        <w:t xml:space="preserve"> о наличии оснований для составления мотивированного мнения (далее – «Уведомле</w:t>
      </w:r>
      <w:r>
        <w:rPr>
          <w:color w:val="000000" w:themeColor="text1"/>
          <w:sz w:val="22"/>
        </w:rPr>
        <w:t xml:space="preserve">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r>
        <w:rPr>
          <w:color w:val="000000" w:themeColor="text1"/>
          <w:sz w:val="22"/>
        </w:rPr>
        <w:t xml:space="preserve">субконтрагентов</w:t>
      </w:r>
      <w:r>
        <w:rPr>
          <w:color w:val="000000" w:themeColor="text1"/>
          <w:sz w:val="22"/>
        </w:rPr>
        <w:t xml:space="preserve"> (например, субподрядчиков, </w:t>
      </w:r>
      <w:r>
        <w:rPr>
          <w:color w:val="000000" w:themeColor="text1"/>
          <w:sz w:val="22"/>
        </w:rPr>
        <w:t xml:space="preserve">субисполнителей</w:t>
      </w:r>
      <w:r>
        <w:rPr>
          <w:color w:val="000000" w:themeColor="text1"/>
          <w:sz w:val="22"/>
        </w:rPr>
        <w:t xml:space="preserve">, субпоставщиков), Покупатель в течение 10 (десяти) кал</w:t>
      </w:r>
      <w:r>
        <w:rPr>
          <w:color w:val="000000" w:themeColor="text1"/>
          <w:sz w:val="22"/>
        </w:rPr>
        <w:t xml:space="preserve">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r>
        <w:rPr>
          <w:color w:val="000000" w:themeColor="text1"/>
          <w:sz w:val="22"/>
        </w:rPr>
      </w:r>
      <w:r>
        <w:rPr>
          <w:color w:val="000000" w:themeColor="text1"/>
          <w:sz w:val="22"/>
        </w:rPr>
      </w:r>
    </w:p>
    <w:p>
      <w:pPr>
        <w:ind w:firstLine="567"/>
        <w:jc w:val="both"/>
        <w:tabs>
          <w:tab w:val="left" w:pos="709" w:leader="none"/>
        </w:tabs>
        <w:rPr>
          <w:color w:val="000000" w:themeColor="text1"/>
          <w:sz w:val="22"/>
        </w:rPr>
      </w:pPr>
      <w:r>
        <w:rPr>
          <w:color w:val="000000" w:themeColor="text1"/>
          <w:sz w:val="22"/>
        </w:rPr>
        <w:t xml:space="preserve">11.4.2. В случае несогласия</w:t>
      </w:r>
      <w:r>
        <w:rPr>
          <w:color w:val="000000" w:themeColor="text1"/>
          <w:sz w:val="22"/>
        </w:rPr>
        <w:t xml:space="preserve">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w:t>
      </w:r>
      <w:r>
        <w:rPr>
          <w:color w:val="000000" w:themeColor="text1"/>
          <w:sz w:val="22"/>
        </w:rPr>
        <w:t xml:space="preserve">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r>
        <w:rPr>
          <w:color w:val="000000" w:themeColor="text1"/>
          <w:sz w:val="22"/>
        </w:rPr>
      </w:r>
      <w:r>
        <w:rPr>
          <w:color w:val="000000" w:themeColor="text1"/>
          <w:sz w:val="22"/>
        </w:rPr>
      </w:r>
    </w:p>
    <w:p>
      <w:pPr>
        <w:ind w:firstLine="567"/>
        <w:jc w:val="both"/>
        <w:tabs>
          <w:tab w:val="left" w:pos="709" w:leader="none"/>
        </w:tabs>
        <w:rPr>
          <w:color w:val="000000" w:themeColor="text1"/>
          <w:sz w:val="22"/>
        </w:rPr>
      </w:pPr>
      <w:r>
        <w:rPr>
          <w:color w:val="000000" w:themeColor="text1"/>
          <w:sz w:val="22"/>
        </w:rP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r>
        <w:rPr>
          <w:color w:val="000000" w:themeColor="text1"/>
          <w:sz w:val="22"/>
        </w:rPr>
      </w:r>
      <w:r>
        <w:rPr>
          <w:color w:val="000000" w:themeColor="text1"/>
          <w:sz w:val="22"/>
        </w:rPr>
      </w:r>
    </w:p>
    <w:p>
      <w:pPr>
        <w:ind w:firstLine="567"/>
        <w:jc w:val="both"/>
        <w:rPr>
          <w:b/>
          <w:bCs/>
          <w:sz w:val="22"/>
        </w:rPr>
      </w:pPr>
      <w:r>
        <w:rPr>
          <w:color w:val="000000" w:themeColor="text1"/>
          <w:sz w:val="22"/>
        </w:rPr>
        <w:t xml:space="preserve">11.5. Покупатель вправе потребовать с Поставщика возмещения имущественных потерь, связанных с наступлением обстоятельств, указанных в п. 13.3. Договора, в течение срока действия Договора и в течение трех лет после окончания срока действия Договора.</w:t>
      </w:r>
      <w:r>
        <w:rPr>
          <w:b/>
          <w:bCs/>
          <w:sz w:val="22"/>
        </w:rPr>
      </w:r>
      <w:r>
        <w:rPr>
          <w:b/>
          <w:bCs/>
          <w:sz w:val="22"/>
        </w:rPr>
      </w:r>
    </w:p>
    <w:p>
      <w:pPr>
        <w:pStyle w:val="1001"/>
        <w:ind w:left="0" w:right="261" w:firstLine="0"/>
        <w:keepNext/>
        <w:spacing w:before="200" w:after="200"/>
        <w:widowControl w:val="off"/>
        <w:tabs>
          <w:tab w:val="left" w:pos="1134" w:leader="none"/>
        </w:tabs>
        <w:rPr>
          <w:b/>
          <w:sz w:val="22"/>
          <w:szCs w:val="22"/>
        </w:rPr>
      </w:pPr>
      <w:r>
        <w:rPr>
          <w:b/>
          <w:sz w:val="22"/>
          <w:szCs w:val="22"/>
        </w:rPr>
        <w:t xml:space="preserve">12. ФОРС МАЖОР</w:t>
      </w:r>
      <w:r>
        <w:rPr>
          <w:b/>
          <w:sz w:val="22"/>
          <w:szCs w:val="22"/>
        </w:rPr>
      </w:r>
      <w:r>
        <w:rPr>
          <w:b/>
          <w:sz w:val="22"/>
          <w:szCs w:val="22"/>
        </w:rPr>
      </w:r>
    </w:p>
    <w:p>
      <w:pPr>
        <w:pStyle w:val="1001"/>
        <w:ind w:left="0" w:right="-24" w:firstLine="0"/>
        <w:jc w:val="both"/>
        <w:widowControl w:val="off"/>
        <w:tabs>
          <w:tab w:val="clear" w:pos="432" w:leader="none"/>
        </w:tabs>
        <w:rPr>
          <w:sz w:val="22"/>
          <w:szCs w:val="22"/>
        </w:rPr>
      </w:pPr>
      <w:r>
        <w:rPr>
          <w:sz w:val="22"/>
          <w:szCs w:val="22"/>
        </w:rPr>
        <w:t xml:space="preserve">12.1. В случае наступления обстоятельств, препятствующих полному или частичному исполнению какой-либо из Сторон обязательств по Договору, а именно: пожар, стихийное бедст</w:t>
      </w:r>
      <w:r>
        <w:rPr>
          <w:sz w:val="22"/>
          <w:szCs w:val="22"/>
        </w:rPr>
        <w:t xml:space="preserve">вие, военные действия любого характера или другие, не зависящие от Сторон обстоятельств, срок исполнения обязательств Стороны, для которой наступили такие обстоятельства, отодвигается на время, в течение которого будут действовать указанные обстоятельства.</w:t>
      </w:r>
      <w:r>
        <w:rPr>
          <w:sz w:val="22"/>
          <w:szCs w:val="22"/>
        </w:rPr>
      </w:r>
      <w:r>
        <w:rPr>
          <w:sz w:val="22"/>
          <w:szCs w:val="22"/>
        </w:rPr>
      </w:r>
    </w:p>
    <w:p>
      <w:pPr>
        <w:pStyle w:val="1001"/>
        <w:ind w:left="0" w:right="-24" w:firstLine="0"/>
        <w:jc w:val="both"/>
        <w:widowControl w:val="off"/>
        <w:tabs>
          <w:tab w:val="clear" w:pos="432" w:leader="none"/>
        </w:tabs>
        <w:rPr>
          <w:sz w:val="22"/>
          <w:szCs w:val="22"/>
        </w:rPr>
      </w:pPr>
      <w:r>
        <w:rPr>
          <w:sz w:val="22"/>
          <w:szCs w:val="22"/>
        </w:rPr>
        <w:t xml:space="preserve">12.2. Сторона, для которой создалась невозможность исполнения обязательств по Договору, должна о наступлении таких обстоятел</w:t>
      </w:r>
      <w:r>
        <w:rPr>
          <w:sz w:val="22"/>
          <w:szCs w:val="22"/>
        </w:rPr>
        <w:t xml:space="preserve">ьств известить другую Сторону в письменном виде в течение 5 (пяти) календарных дней со дня наступления этих обстоятельств, а если сами обстоятельства препятствуют потерпевшей Стороне известить другую Сторону – немедленно по прекращению таких обстоятельств.</w:t>
      </w:r>
      <w:r>
        <w:rPr>
          <w:sz w:val="22"/>
          <w:szCs w:val="22"/>
        </w:rPr>
      </w:r>
      <w:r>
        <w:rPr>
          <w:sz w:val="22"/>
          <w:szCs w:val="22"/>
        </w:rPr>
      </w:r>
    </w:p>
    <w:p>
      <w:pPr>
        <w:pStyle w:val="1001"/>
        <w:ind w:left="0" w:right="261" w:firstLine="0"/>
        <w:keepNext/>
        <w:spacing w:before="200" w:after="200"/>
        <w:widowControl w:val="off"/>
        <w:tabs>
          <w:tab w:val="left" w:pos="1134" w:leader="none"/>
        </w:tabs>
        <w:rPr>
          <w:b/>
          <w:sz w:val="22"/>
          <w:szCs w:val="22"/>
        </w:rPr>
      </w:pPr>
      <w:r>
        <w:rPr>
          <w:b/>
          <w:sz w:val="22"/>
          <w:szCs w:val="22"/>
        </w:rPr>
        <w:t xml:space="preserve">13. ПОРЯДОК РАЗРЕШЕНИЯ СПОРОВ</w:t>
      </w:r>
      <w:r>
        <w:rPr>
          <w:b/>
          <w:sz w:val="22"/>
          <w:szCs w:val="22"/>
        </w:rPr>
      </w:r>
      <w:r>
        <w:rPr>
          <w:b/>
          <w:sz w:val="22"/>
          <w:szCs w:val="22"/>
        </w:rPr>
      </w:r>
    </w:p>
    <w:p>
      <w:pPr>
        <w:pStyle w:val="1001"/>
        <w:ind w:left="0" w:right="-24" w:firstLine="0"/>
        <w:jc w:val="both"/>
        <w:widowControl w:val="off"/>
        <w:tabs>
          <w:tab w:val="clear" w:pos="432" w:leader="none"/>
        </w:tabs>
        <w:rPr>
          <w:sz w:val="22"/>
          <w:szCs w:val="22"/>
        </w:rPr>
      </w:pPr>
      <w:r>
        <w:rPr>
          <w:sz w:val="22"/>
          <w:szCs w:val="22"/>
        </w:rPr>
        <w:t xml:space="preserve">13.1. Все споры, возникающие из Договора или в связи с ним, в том числе касающиеся его выполнения, нарушения, прекращения или действительности, решаются Сторонами путем переговоров.</w:t>
      </w:r>
      <w:r>
        <w:rPr>
          <w:sz w:val="22"/>
          <w:szCs w:val="22"/>
        </w:rPr>
      </w:r>
      <w:r>
        <w:rPr>
          <w:sz w:val="22"/>
          <w:szCs w:val="22"/>
        </w:rPr>
      </w:r>
    </w:p>
    <w:p>
      <w:pPr>
        <w:pStyle w:val="1001"/>
        <w:ind w:left="0" w:right="-24" w:firstLine="0"/>
        <w:jc w:val="both"/>
        <w:widowControl w:val="off"/>
        <w:tabs>
          <w:tab w:val="clear" w:pos="432" w:leader="none"/>
        </w:tabs>
        <w:rPr>
          <w:sz w:val="22"/>
          <w:szCs w:val="22"/>
        </w:rPr>
      </w:pPr>
      <w:r>
        <w:rPr>
          <w:color w:val="000000"/>
          <w:sz w:val="22"/>
          <w:szCs w:val="22"/>
        </w:rPr>
        <w:t xml:space="preserve">13.2. При невозможности достижения согласия в переговорах или отказе в переговорах, </w:t>
      </w:r>
      <w:r>
        <w:rPr>
          <w:sz w:val="22"/>
          <w:szCs w:val="22"/>
        </w:rPr>
        <w:t xml:space="preserve">споры, разногласия и требования, возникающие из Договора или в связи с ним, в том числе связанные с его изменением, исполнением, нарушением, расторжением, прекращением и действительностью, подлежат рассмотрению в Арбитражном суде г. Москвы.</w:t>
      </w:r>
      <w:r>
        <w:rPr>
          <w:sz w:val="22"/>
          <w:szCs w:val="22"/>
        </w:rPr>
      </w:r>
      <w:r>
        <w:rPr>
          <w:sz w:val="22"/>
          <w:szCs w:val="22"/>
        </w:rPr>
      </w:r>
    </w:p>
    <w:p>
      <w:pPr>
        <w:pStyle w:val="1001"/>
        <w:ind w:left="0" w:right="261" w:firstLine="0"/>
        <w:keepNext/>
        <w:spacing w:before="200" w:after="200"/>
        <w:widowControl w:val="off"/>
        <w:tabs>
          <w:tab w:val="left" w:pos="1134" w:leader="none"/>
        </w:tabs>
        <w:rPr>
          <w:b/>
          <w:sz w:val="22"/>
          <w:szCs w:val="22"/>
        </w:rPr>
      </w:pPr>
      <w:r>
        <w:rPr>
          <w:b/>
          <w:sz w:val="22"/>
          <w:szCs w:val="22"/>
        </w:rPr>
        <w:t xml:space="preserve">14. ЗАКЛЮЧИТЕЛЬНЫЕ ПОЛОЖЕНИЯ</w:t>
      </w:r>
      <w:r>
        <w:rPr>
          <w:b/>
          <w:sz w:val="22"/>
          <w:szCs w:val="22"/>
        </w:rPr>
      </w:r>
      <w:r>
        <w:rPr>
          <w:b/>
          <w:sz w:val="22"/>
          <w:szCs w:val="22"/>
        </w:rPr>
      </w:r>
    </w:p>
    <w:p>
      <w:pPr>
        <w:pStyle w:val="1001"/>
        <w:ind w:left="0" w:right="-24" w:firstLine="0"/>
        <w:jc w:val="both"/>
        <w:widowControl w:val="off"/>
        <w:tabs>
          <w:tab w:val="clear" w:pos="432" w:leader="none"/>
        </w:tabs>
        <w:rPr>
          <w:color w:val="000000"/>
          <w:sz w:val="22"/>
          <w:szCs w:val="22"/>
        </w:rPr>
      </w:pPr>
      <w:r>
        <w:rPr>
          <w:color w:val="000000"/>
          <w:sz w:val="22"/>
          <w:szCs w:val="22"/>
        </w:rPr>
        <w:t xml:space="preserve">14.1. Любые изменения и дополнения к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 если иное не предусмотрено законом или Договором.</w:t>
      </w:r>
      <w:r>
        <w:rPr>
          <w:color w:val="000000"/>
          <w:sz w:val="22"/>
          <w:szCs w:val="22"/>
        </w:rPr>
      </w:r>
      <w:r>
        <w:rPr>
          <w:color w:val="000000"/>
          <w:sz w:val="22"/>
          <w:szCs w:val="22"/>
        </w:rPr>
      </w:r>
    </w:p>
    <w:p>
      <w:pPr>
        <w:pStyle w:val="1001"/>
        <w:ind w:left="0" w:right="-24" w:firstLine="0"/>
        <w:jc w:val="both"/>
        <w:widowControl w:val="off"/>
        <w:tabs>
          <w:tab w:val="clear" w:pos="432" w:leader="none"/>
        </w:tabs>
        <w:rPr>
          <w:color w:val="000000"/>
          <w:sz w:val="22"/>
          <w:szCs w:val="22"/>
        </w:rPr>
      </w:pPr>
      <w:r>
        <w:rPr>
          <w:sz w:val="22"/>
          <w:szCs w:val="22"/>
        </w:rPr>
        <w:t xml:space="preserve">14.2. Все уведомления и сообщения должны направляться в письменной форме. В случае изменения места нахождения или обслуживающего банка Стороны Договора обязаны в семидневный срок уведомить об этом друг друга.</w:t>
      </w:r>
      <w:r>
        <w:rPr>
          <w:color w:val="000000"/>
          <w:sz w:val="22"/>
          <w:szCs w:val="22"/>
        </w:rPr>
      </w:r>
      <w:r>
        <w:rPr>
          <w:color w:val="000000"/>
          <w:sz w:val="22"/>
          <w:szCs w:val="22"/>
        </w:rPr>
      </w:r>
    </w:p>
    <w:p>
      <w:pPr>
        <w:pStyle w:val="1001"/>
        <w:ind w:left="0" w:right="-24" w:firstLine="0"/>
        <w:jc w:val="both"/>
        <w:widowControl w:val="off"/>
        <w:tabs>
          <w:tab w:val="clear" w:pos="432" w:leader="none"/>
        </w:tabs>
        <w:rPr>
          <w:color w:val="000000"/>
          <w:sz w:val="22"/>
          <w:szCs w:val="22"/>
        </w:rPr>
      </w:pPr>
      <w:r>
        <w:rPr>
          <w:sz w:val="22"/>
          <w:szCs w:val="22"/>
        </w:rPr>
        <w:t xml:space="preserve">14.3. Поставщик обязуется раскрывать Покупателю сведения о собственниках (номинальных вл</w:t>
      </w:r>
      <w:r>
        <w:rPr>
          <w:sz w:val="22"/>
          <w:szCs w:val="22"/>
        </w:rPr>
        <w:t xml:space="preserve">адельцах) долей Поставщика по форме, предусмотренной Приложением №1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 </w:t>
      </w:r>
      <w:r>
        <w:rPr>
          <w:color w:val="000000"/>
          <w:sz w:val="22"/>
          <w:szCs w:val="22"/>
        </w:rPr>
      </w:r>
      <w:r>
        <w:rPr>
          <w:color w:val="000000"/>
          <w:sz w:val="22"/>
          <w:szCs w:val="22"/>
        </w:rPr>
      </w:r>
    </w:p>
    <w:p>
      <w:pPr>
        <w:ind w:right="-24" w:firstLine="567"/>
        <w:jc w:val="both"/>
        <w:widowControl w:val="off"/>
        <w:rPr>
          <w:sz w:val="22"/>
          <w:szCs w:val="22"/>
        </w:rPr>
      </w:pPr>
      <w:r>
        <w:rPr>
          <w:sz w:val="22"/>
          <w:szCs w:val="22"/>
        </w:rPr>
        <w:t xml:space="preserve">В случае любых изменений сведений о собственниках (номинальных владельцах) долей Поставщика, </w:t>
      </w:r>
      <w:r>
        <w:rPr>
          <w:sz w:val="22"/>
          <w:szCs w:val="22"/>
        </w:rPr>
        <w:t xml:space="preserve">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Заказчику актуализированные сведения. </w:t>
      </w:r>
      <w:r>
        <w:rPr>
          <w:sz w:val="22"/>
          <w:szCs w:val="22"/>
        </w:rPr>
      </w:r>
      <w:r>
        <w:rPr>
          <w:sz w:val="22"/>
          <w:szCs w:val="22"/>
        </w:rPr>
      </w:r>
    </w:p>
    <w:p>
      <w:pPr>
        <w:ind w:right="-24" w:firstLine="567"/>
        <w:jc w:val="both"/>
        <w:widowControl w:val="off"/>
        <w:rPr>
          <w:sz w:val="22"/>
          <w:szCs w:val="22"/>
        </w:rPr>
      </w:pPr>
      <w:r>
        <w:rPr>
          <w:sz w:val="22"/>
          <w:szCs w:val="22"/>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 </w:t>
      </w:r>
      <w:r>
        <w:rPr>
          <w:sz w:val="22"/>
          <w:szCs w:val="22"/>
        </w:rPr>
      </w:r>
      <w:r>
        <w:rPr>
          <w:sz w:val="22"/>
          <w:szCs w:val="22"/>
        </w:rPr>
      </w:r>
    </w:p>
    <w:p>
      <w:pPr>
        <w:ind w:right="-24" w:firstLine="567"/>
        <w:jc w:val="both"/>
        <w:widowControl w:val="off"/>
        <w:rPr>
          <w:sz w:val="22"/>
          <w:szCs w:val="22"/>
        </w:rPr>
      </w:pPr>
      <w:r>
        <w:rPr>
          <w:sz w:val="22"/>
          <w:szCs w:val="22"/>
        </w:rPr>
        <w:t xml:space="preserve">Положения настоящего пункта Стороны признают существенным условием Договора. В случае </w:t>
      </w:r>
      <w:r>
        <w:rPr>
          <w:sz w:val="22"/>
          <w:szCs w:val="22"/>
        </w:rPr>
        <w:t xml:space="preserve">не выполнения</w:t>
      </w:r>
      <w:r>
        <w:rPr>
          <w:sz w:val="22"/>
          <w:szCs w:val="22"/>
        </w:rPr>
        <w:t xml:space="preserve">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r>
        <w:rPr>
          <w:sz w:val="22"/>
          <w:szCs w:val="22"/>
        </w:rPr>
      </w:r>
      <w:r>
        <w:rPr>
          <w:sz w:val="22"/>
          <w:szCs w:val="22"/>
        </w:rPr>
      </w:r>
    </w:p>
    <w:p>
      <w:pPr>
        <w:pStyle w:val="1001"/>
        <w:ind w:left="0" w:right="-24" w:firstLine="0"/>
        <w:jc w:val="both"/>
        <w:widowControl w:val="off"/>
        <w:tabs>
          <w:tab w:val="clear" w:pos="432" w:leader="none"/>
        </w:tabs>
        <w:rPr>
          <w:sz w:val="22"/>
          <w:szCs w:val="22"/>
        </w:rPr>
      </w:pPr>
      <w:r>
        <w:rPr>
          <w:sz w:val="22"/>
          <w:szCs w:val="22"/>
        </w:rPr>
        <w:t xml:space="preserve">14.4. В случае отсутствия в Приложении №2 к настоящему Договору согласованных Сторонами Товара и/или его стоимости, соответствующие условия согласуются Сторонами без учета Приложения №2.</w:t>
      </w:r>
      <w:r>
        <w:rPr>
          <w:sz w:val="22"/>
          <w:szCs w:val="22"/>
        </w:rPr>
      </w:r>
      <w:r>
        <w:rPr>
          <w:sz w:val="22"/>
          <w:szCs w:val="22"/>
        </w:rPr>
      </w:r>
    </w:p>
    <w:p>
      <w:pPr>
        <w:pStyle w:val="1001"/>
        <w:ind w:left="0" w:right="-24" w:firstLine="0"/>
        <w:jc w:val="both"/>
        <w:widowControl w:val="off"/>
        <w:tabs>
          <w:tab w:val="clear" w:pos="432" w:leader="none"/>
        </w:tabs>
        <w:rPr>
          <w:sz w:val="22"/>
          <w:szCs w:val="22"/>
        </w:rPr>
      </w:pPr>
      <w:r>
        <w:rPr>
          <w:sz w:val="22"/>
          <w:szCs w:val="22"/>
        </w:rPr>
        <w:t xml:space="preserve">14.5. Во всем остальном, что не предусмотрено Договором, Стороны руководствуются законодательством Российской Федерации.</w:t>
      </w:r>
      <w:r>
        <w:rPr>
          <w:sz w:val="22"/>
          <w:szCs w:val="22"/>
        </w:rPr>
      </w:r>
      <w:r>
        <w:rPr>
          <w:sz w:val="22"/>
          <w:szCs w:val="22"/>
        </w:rPr>
      </w:r>
    </w:p>
    <w:p>
      <w:pPr>
        <w:pStyle w:val="1001"/>
        <w:ind w:left="0" w:right="-24" w:firstLine="0"/>
        <w:jc w:val="both"/>
        <w:widowControl w:val="off"/>
        <w:tabs>
          <w:tab w:val="clear" w:pos="432" w:leader="none"/>
        </w:tabs>
        <w:rPr>
          <w:sz w:val="22"/>
          <w:szCs w:val="22"/>
        </w:rPr>
      </w:pPr>
      <w:r>
        <w:rPr>
          <w:sz w:val="22"/>
          <w:szCs w:val="22"/>
        </w:rPr>
        <w:t xml:space="preserve">14.6. Договор составлен в двух экземплярах, из которых один находится у Поставщика, второй – у Покупателя.</w:t>
      </w:r>
      <w:r>
        <w:rPr>
          <w:sz w:val="22"/>
          <w:szCs w:val="22"/>
        </w:rPr>
      </w:r>
      <w:r>
        <w:rPr>
          <w:sz w:val="22"/>
          <w:szCs w:val="22"/>
        </w:rPr>
      </w:r>
    </w:p>
    <w:p>
      <w:pPr>
        <w:pStyle w:val="1001"/>
        <w:ind w:left="0" w:right="-23" w:firstLine="0"/>
        <w:jc w:val="both"/>
        <w:keepNext/>
        <w:widowControl w:val="off"/>
        <w:tabs>
          <w:tab w:val="clear" w:pos="432" w:leader="none"/>
        </w:tabs>
        <w:rPr>
          <w:sz w:val="22"/>
          <w:szCs w:val="22"/>
        </w:rPr>
      </w:pPr>
      <w:r>
        <w:rPr>
          <w:sz w:val="22"/>
          <w:szCs w:val="22"/>
        </w:rPr>
        <w:t xml:space="preserve">14.7. Приложения к Договору:</w:t>
      </w:r>
      <w:r>
        <w:rPr>
          <w:sz w:val="22"/>
          <w:szCs w:val="22"/>
        </w:rPr>
      </w:r>
      <w:r>
        <w:rPr>
          <w:sz w:val="22"/>
          <w:szCs w:val="22"/>
        </w:rPr>
      </w:r>
    </w:p>
    <w:p>
      <w:pPr>
        <w:ind w:right="261" w:firstLine="567"/>
        <w:jc w:val="both"/>
        <w:widowControl w:val="off"/>
        <w:rPr>
          <w:sz w:val="22"/>
          <w:szCs w:val="22"/>
        </w:rPr>
      </w:pPr>
      <w:r>
        <w:rPr>
          <w:sz w:val="22"/>
          <w:szCs w:val="22"/>
        </w:rPr>
        <w:t xml:space="preserve">Приложение №1 – Форма по раскрытию информации в отношении всей цепочки собственников, включая бенефициаров (в том числе конечных).</w:t>
      </w:r>
      <w:r>
        <w:rPr>
          <w:sz w:val="22"/>
          <w:szCs w:val="22"/>
        </w:rPr>
      </w:r>
      <w:r>
        <w:rPr>
          <w:sz w:val="22"/>
          <w:szCs w:val="22"/>
        </w:rPr>
      </w:r>
    </w:p>
    <w:p>
      <w:pPr>
        <w:ind w:right="261" w:firstLine="567"/>
        <w:jc w:val="both"/>
        <w:widowControl w:val="off"/>
        <w:rPr>
          <w:sz w:val="22"/>
          <w:szCs w:val="22"/>
        </w:rPr>
      </w:pPr>
      <w:r>
        <w:rPr>
          <w:sz w:val="22"/>
          <w:szCs w:val="22"/>
        </w:rPr>
        <w:t xml:space="preserve">Приложение №2 – Спецификация.</w:t>
      </w:r>
      <w:r>
        <w:rPr>
          <w:sz w:val="22"/>
          <w:szCs w:val="22"/>
        </w:rPr>
      </w:r>
      <w:r>
        <w:rPr>
          <w:sz w:val="22"/>
          <w:szCs w:val="22"/>
        </w:rPr>
      </w:r>
    </w:p>
    <w:p>
      <w:pPr>
        <w:pStyle w:val="1001"/>
        <w:numPr>
          <w:ilvl w:val="0"/>
          <w:numId w:val="1"/>
        </w:numPr>
        <w:ind w:left="0" w:right="261" w:firstLine="567"/>
        <w:keepNext/>
        <w:spacing w:before="200" w:after="200"/>
        <w:widowControl w:val="off"/>
        <w:tabs>
          <w:tab w:val="left" w:pos="1134" w:leader="none"/>
        </w:tabs>
        <w:rPr>
          <w:b/>
          <w:sz w:val="22"/>
          <w:szCs w:val="22"/>
        </w:rPr>
      </w:pPr>
      <w:r>
        <w:rPr>
          <w:b/>
          <w:sz w:val="22"/>
          <w:szCs w:val="22"/>
        </w:rPr>
        <w:t xml:space="preserve">РЕКВИЗИТЫ И ПОДПИСИ СТОРОН</w:t>
      </w:r>
      <w:r>
        <w:rPr>
          <w:b/>
          <w:sz w:val="22"/>
          <w:szCs w:val="22"/>
        </w:rPr>
      </w:r>
      <w:r>
        <w:rPr>
          <w:b/>
          <w:sz w:val="22"/>
          <w:szCs w:val="22"/>
        </w:rPr>
      </w:r>
    </w:p>
    <w:tbl>
      <w:tblPr>
        <w:tblW w:w="10759" w:type="dxa"/>
        <w:jc w:val="center"/>
        <w:tblLayout w:type="fixed"/>
        <w:tblLook w:val="01E0" w:firstRow="1" w:lastRow="1" w:firstColumn="1" w:lastColumn="1" w:noHBand="0" w:noVBand="0"/>
      </w:tblPr>
      <w:tblGrid>
        <w:gridCol w:w="5529"/>
        <w:gridCol w:w="5230"/>
      </w:tblGrid>
      <w:tr>
        <w:tblPrEx/>
        <w:trPr>
          <w:jc w:val="center"/>
          <w:trHeight w:val="1116"/>
        </w:trPr>
        <w:tc>
          <w:tcPr>
            <w:tcW w:w="5529" w:type="dxa"/>
            <w:textDirection w:val="lrTb"/>
            <w:noWrap w:val="false"/>
          </w:tcPr>
          <w:p>
            <w:pPr>
              <w:ind w:right="261"/>
              <w:jc w:val="both"/>
              <w:widowControl w:val="off"/>
              <w:rPr>
                <w:b/>
                <w:sz w:val="22"/>
                <w:szCs w:val="22"/>
              </w:rPr>
            </w:pPr>
            <w:r>
              <w:rPr>
                <w:b/>
                <w:sz w:val="22"/>
                <w:szCs w:val="22"/>
              </w:rPr>
              <w:t xml:space="preserve">Покупатель</w:t>
            </w:r>
            <w:r>
              <w:rPr>
                <w:b/>
                <w:sz w:val="22"/>
                <w:szCs w:val="22"/>
              </w:rPr>
            </w:r>
            <w:r>
              <w:rPr>
                <w:b/>
                <w:sz w:val="22"/>
                <w:szCs w:val="22"/>
              </w:rPr>
            </w:r>
          </w:p>
          <w:p>
            <w:pPr>
              <w:shd w:val="clear" w:color="auto" w:fill="ffffff"/>
              <w:rPr>
                <w:b/>
                <w:sz w:val="22"/>
                <w:szCs w:val="22"/>
              </w:rPr>
            </w:pPr>
            <w:r>
              <w:rPr>
                <w:b/>
                <w:sz w:val="22"/>
                <w:szCs w:val="22"/>
              </w:rPr>
              <w:t xml:space="preserve">ООО «Интер РАО – Инжиниринг»</w:t>
            </w:r>
            <w:r>
              <w:rPr>
                <w:b/>
                <w:sz w:val="22"/>
                <w:szCs w:val="22"/>
              </w:rPr>
            </w:r>
            <w:r>
              <w:rPr>
                <w:b/>
                <w:sz w:val="22"/>
                <w:szCs w:val="22"/>
              </w:rPr>
            </w:r>
          </w:p>
          <w:p>
            <w:pPr>
              <w:shd w:val="clear" w:color="auto" w:fill="ffffff"/>
              <w:rPr>
                <w:sz w:val="22"/>
                <w:szCs w:val="22"/>
              </w:rPr>
            </w:pPr>
            <w:r>
              <w:rPr>
                <w:sz w:val="22"/>
                <w:szCs w:val="22"/>
                <w:u w:val="single"/>
              </w:rPr>
              <w:t xml:space="preserve">Место нахождения:</w:t>
            </w:r>
            <w:r>
              <w:rPr>
                <w:sz w:val="22"/>
                <w:szCs w:val="22"/>
              </w:rPr>
              <w:t xml:space="preserve"> 119435, Москва, ул. Большая Пироговская, д. 27, стр. 4</w:t>
            </w:r>
            <w:r>
              <w:rPr>
                <w:sz w:val="22"/>
                <w:szCs w:val="22"/>
              </w:rPr>
            </w:r>
            <w:r>
              <w:rPr>
                <w:sz w:val="22"/>
                <w:szCs w:val="22"/>
              </w:rPr>
            </w:r>
          </w:p>
          <w:p>
            <w:pPr>
              <w:rPr>
                <w:sz w:val="22"/>
                <w:szCs w:val="22"/>
              </w:rPr>
            </w:pPr>
            <w:r>
              <w:rPr>
                <w:sz w:val="22"/>
                <w:szCs w:val="22"/>
              </w:rPr>
              <w:t xml:space="preserve">ОГРН 1095074008545</w:t>
            </w:r>
            <w:r>
              <w:rPr>
                <w:sz w:val="22"/>
                <w:szCs w:val="22"/>
              </w:rPr>
            </w:r>
            <w:r>
              <w:rPr>
                <w:sz w:val="22"/>
                <w:szCs w:val="22"/>
              </w:rPr>
            </w:r>
          </w:p>
          <w:p>
            <w:pPr>
              <w:shd w:val="clear" w:color="auto" w:fill="ffffff"/>
              <w:rPr>
                <w:sz w:val="22"/>
                <w:szCs w:val="22"/>
              </w:rPr>
            </w:pPr>
            <w:r>
              <w:rPr>
                <w:sz w:val="22"/>
                <w:szCs w:val="22"/>
              </w:rPr>
              <w:t xml:space="preserve">ИНН 5036101347</w:t>
            </w:r>
            <w:r>
              <w:rPr>
                <w:sz w:val="22"/>
                <w:szCs w:val="22"/>
              </w:rPr>
            </w:r>
            <w:r>
              <w:rPr>
                <w:sz w:val="22"/>
                <w:szCs w:val="22"/>
              </w:rPr>
            </w:r>
          </w:p>
          <w:p>
            <w:pPr>
              <w:shd w:val="clear" w:color="auto" w:fill="ffffff"/>
              <w:rPr>
                <w:sz w:val="22"/>
                <w:szCs w:val="22"/>
              </w:rPr>
            </w:pPr>
            <w:r>
              <w:rPr>
                <w:sz w:val="22"/>
                <w:szCs w:val="22"/>
              </w:rPr>
              <w:t xml:space="preserve">Почтовый адрес: 119435, г. Москва, ул. Большая Пироговская, д. 27, стр. 4</w:t>
            </w:r>
            <w:r>
              <w:rPr>
                <w:sz w:val="22"/>
                <w:szCs w:val="22"/>
              </w:rPr>
            </w:r>
            <w:r>
              <w:rPr>
                <w:sz w:val="22"/>
                <w:szCs w:val="22"/>
              </w:rPr>
            </w:r>
          </w:p>
          <w:p>
            <w:pPr>
              <w:shd w:val="clear" w:color="auto" w:fill="ffffff"/>
              <w:rPr>
                <w:sz w:val="22"/>
                <w:szCs w:val="22"/>
              </w:rPr>
            </w:pPr>
            <w:r>
              <w:rPr>
                <w:sz w:val="22"/>
                <w:szCs w:val="22"/>
              </w:rPr>
              <w:t xml:space="preserve">Тел.+7 (495) 664-88-40</w:t>
            </w:r>
            <w:r>
              <w:rPr>
                <w:sz w:val="22"/>
                <w:szCs w:val="22"/>
              </w:rPr>
            </w:r>
            <w:r>
              <w:rPr>
                <w:sz w:val="22"/>
                <w:szCs w:val="22"/>
              </w:rPr>
            </w:r>
          </w:p>
          <w:p>
            <w:pPr>
              <w:shd w:val="clear" w:color="auto" w:fill="ffffff"/>
              <w:rPr>
                <w:sz w:val="22"/>
                <w:szCs w:val="22"/>
                <w:lang w:val="en-US"/>
              </w:rPr>
            </w:pPr>
            <w:r>
              <w:rPr>
                <w:sz w:val="22"/>
                <w:szCs w:val="22"/>
                <w:lang w:val="en-US"/>
              </w:rPr>
              <w:t xml:space="preserve">E-mail: irao-e@interrao.ru</w:t>
            </w:r>
            <w:r>
              <w:rPr>
                <w:sz w:val="22"/>
                <w:szCs w:val="22"/>
                <w:lang w:val="en-US"/>
              </w:rPr>
            </w:r>
            <w:r>
              <w:rPr>
                <w:sz w:val="22"/>
                <w:szCs w:val="22"/>
                <w:lang w:val="en-US"/>
              </w:rPr>
            </w:r>
          </w:p>
          <w:p>
            <w:pPr>
              <w:shd w:val="clear" w:color="auto" w:fill="ffffff"/>
              <w:rPr>
                <w:sz w:val="22"/>
                <w:szCs w:val="22"/>
              </w:rPr>
            </w:pPr>
            <w:r>
              <w:rPr>
                <w:sz w:val="22"/>
                <w:szCs w:val="22"/>
              </w:rPr>
              <w:t xml:space="preserve">Р/c 40702810692000004017 в Банк ГПБ (ОАО) г. Москва</w:t>
            </w:r>
            <w:r>
              <w:rPr>
                <w:sz w:val="22"/>
                <w:szCs w:val="22"/>
              </w:rPr>
            </w:r>
            <w:r>
              <w:rPr>
                <w:sz w:val="22"/>
                <w:szCs w:val="22"/>
              </w:rPr>
            </w:r>
          </w:p>
          <w:p>
            <w:pPr>
              <w:shd w:val="clear" w:color="auto" w:fill="ffffff"/>
              <w:rPr>
                <w:sz w:val="22"/>
                <w:szCs w:val="22"/>
              </w:rPr>
            </w:pPr>
            <w:r>
              <w:rPr>
                <w:sz w:val="22"/>
                <w:szCs w:val="22"/>
              </w:rPr>
              <w:t xml:space="preserve">БИК 044525823</w:t>
            </w:r>
            <w:r>
              <w:rPr>
                <w:sz w:val="22"/>
                <w:szCs w:val="22"/>
              </w:rPr>
            </w:r>
            <w:r>
              <w:rPr>
                <w:sz w:val="22"/>
                <w:szCs w:val="22"/>
              </w:rPr>
            </w:r>
          </w:p>
          <w:p>
            <w:pPr>
              <w:shd w:val="clear" w:color="auto" w:fill="ffffff"/>
              <w:rPr>
                <w:sz w:val="22"/>
                <w:szCs w:val="22"/>
              </w:rPr>
            </w:pPr>
            <w:r>
              <w:rPr>
                <w:sz w:val="22"/>
                <w:szCs w:val="22"/>
              </w:rPr>
              <w:t xml:space="preserve">к/с 30101810200000000823</w:t>
            </w:r>
            <w:r>
              <w:rPr>
                <w:sz w:val="22"/>
                <w:szCs w:val="22"/>
              </w:rPr>
            </w:r>
            <w:r>
              <w:rPr>
                <w:sz w:val="22"/>
                <w:szCs w:val="22"/>
              </w:rPr>
            </w:r>
          </w:p>
          <w:p>
            <w:pPr>
              <w:shd w:val="clear" w:color="auto" w:fill="ffffff"/>
              <w:rPr>
                <w:b/>
                <w:sz w:val="22"/>
                <w:szCs w:val="22"/>
              </w:rPr>
            </w:pPr>
            <w:r>
              <w:rPr>
                <w:b/>
                <w:sz w:val="22"/>
                <w:szCs w:val="22"/>
              </w:rPr>
              <w:t xml:space="preserve">Барнаульск</w:t>
            </w:r>
            <w:r>
              <w:rPr>
                <w:b/>
                <w:sz w:val="22"/>
                <w:szCs w:val="22"/>
              </w:rPr>
              <w:t xml:space="preserve">ое ОП</w:t>
            </w:r>
            <w:r>
              <w:rPr>
                <w:b/>
                <w:sz w:val="22"/>
                <w:szCs w:val="22"/>
              </w:rPr>
              <w:t xml:space="preserve"> ООО «Интер РАО-Инжиниринг»</w:t>
            </w:r>
            <w:r>
              <w:rPr>
                <w:b/>
                <w:sz w:val="22"/>
                <w:szCs w:val="22"/>
              </w:rPr>
            </w:r>
            <w:r>
              <w:rPr>
                <w:b/>
                <w:sz w:val="22"/>
                <w:szCs w:val="22"/>
              </w:rPr>
            </w:r>
          </w:p>
          <w:p>
            <w:pPr>
              <w:rPr>
                <w:sz w:val="22"/>
                <w:szCs w:val="22"/>
              </w:rPr>
            </w:pPr>
            <w:r>
              <w:rPr>
                <w:sz w:val="22"/>
                <w:szCs w:val="22"/>
                <w:u w:val="single"/>
              </w:rPr>
              <w:t xml:space="preserve">Место нахождения</w:t>
            </w:r>
            <w:r>
              <w:rPr>
                <w:sz w:val="22"/>
                <w:szCs w:val="22"/>
                <w:u w:val="single"/>
              </w:rPr>
              <w:t xml:space="preserve"> филиала</w:t>
            </w:r>
            <w:r>
              <w:rPr>
                <w:sz w:val="22"/>
                <w:szCs w:val="22"/>
              </w:rPr>
              <w:t xml:space="preserve">:</w:t>
            </w:r>
            <w:r>
              <w:rPr>
                <w:sz w:val="22"/>
                <w:szCs w:val="22"/>
              </w:rPr>
              <w:t xml:space="preserve"> 656063, Российская Федерация, Алтайский край, г. Барнаул, ул. Попова, д. 11</w:t>
            </w:r>
            <w:r>
              <w:rPr>
                <w:sz w:val="22"/>
                <w:szCs w:val="22"/>
              </w:rPr>
            </w:r>
            <w:r>
              <w:rPr>
                <w:sz w:val="22"/>
                <w:szCs w:val="22"/>
              </w:rPr>
            </w:r>
          </w:p>
          <w:p>
            <w:pPr>
              <w:rPr>
                <w:b/>
                <w:sz w:val="22"/>
                <w:szCs w:val="22"/>
                <w:u w:val="single"/>
              </w:rPr>
            </w:pPr>
            <w:r>
              <w:rPr>
                <w:b/>
                <w:sz w:val="22"/>
                <w:szCs w:val="22"/>
                <w:u w:val="single"/>
              </w:rPr>
              <w:t xml:space="preserve">Реквизиты для указания в счетах-фактурах и ТОРГ-12 в качестве Грузополучателя:</w:t>
            </w:r>
            <w:r>
              <w:rPr>
                <w:b/>
                <w:sz w:val="22"/>
                <w:szCs w:val="22"/>
                <w:u w:val="single"/>
              </w:rPr>
            </w:r>
            <w:r>
              <w:rPr>
                <w:b/>
                <w:sz w:val="22"/>
                <w:szCs w:val="22"/>
                <w:u w:val="single"/>
              </w:rPr>
            </w:r>
          </w:p>
          <w:p>
            <w:pPr>
              <w:rPr>
                <w:sz w:val="22"/>
                <w:szCs w:val="22"/>
                <w:u w:val="single"/>
              </w:rPr>
            </w:pPr>
            <w:r>
              <w:rPr>
                <w:sz w:val="22"/>
                <w:szCs w:val="22"/>
                <w:u w:val="single"/>
              </w:rPr>
              <w:t xml:space="preserve">Барнаульское ОП ООО «Интер РАО-Инжиниринг»</w:t>
            </w:r>
            <w:r>
              <w:rPr>
                <w:sz w:val="22"/>
                <w:szCs w:val="22"/>
                <w:u w:val="single"/>
              </w:rPr>
            </w:r>
            <w:r>
              <w:rPr>
                <w:sz w:val="22"/>
                <w:szCs w:val="22"/>
                <w:u w:val="single"/>
              </w:rPr>
            </w:r>
          </w:p>
          <w:p>
            <w:pPr>
              <w:rPr>
                <w:sz w:val="22"/>
                <w:szCs w:val="22"/>
              </w:rPr>
            </w:pPr>
            <w:r>
              <w:rPr>
                <w:sz w:val="22"/>
                <w:szCs w:val="22"/>
                <w:u w:val="single"/>
              </w:rPr>
              <w:t xml:space="preserve">Фактический адрес</w:t>
            </w:r>
            <w:r>
              <w:rPr>
                <w:sz w:val="22"/>
                <w:szCs w:val="22"/>
              </w:rPr>
              <w:t xml:space="preserve">: 656010, Алтайский край, г. Барнаул, ул. 80 Гвардейской Дивизии, 37, стр. 1, 3 этаж, офис 301</w:t>
            </w:r>
            <w:r>
              <w:rPr>
                <w:sz w:val="22"/>
                <w:szCs w:val="22"/>
              </w:rPr>
            </w:r>
            <w:r>
              <w:rPr>
                <w:sz w:val="22"/>
                <w:szCs w:val="22"/>
              </w:rPr>
            </w:r>
          </w:p>
          <w:p>
            <w:pPr>
              <w:rPr>
                <w:sz w:val="22"/>
                <w:szCs w:val="22"/>
              </w:rPr>
            </w:pPr>
            <w:r>
              <w:rPr>
                <w:sz w:val="22"/>
                <w:szCs w:val="22"/>
              </w:rPr>
              <w:t xml:space="preserve">ИНН 5036101347</w:t>
            </w:r>
            <w:r>
              <w:rPr>
                <w:sz w:val="22"/>
                <w:szCs w:val="22"/>
              </w:rPr>
            </w:r>
            <w:r>
              <w:rPr>
                <w:sz w:val="22"/>
                <w:szCs w:val="22"/>
              </w:rPr>
            </w:r>
          </w:p>
          <w:p>
            <w:pPr>
              <w:rPr>
                <w:bCs/>
                <w:sz w:val="22"/>
                <w:szCs w:val="22"/>
              </w:rPr>
            </w:pPr>
            <w:r>
              <w:rPr>
                <w:bCs/>
                <w:sz w:val="22"/>
                <w:szCs w:val="22"/>
              </w:rPr>
              <w:t xml:space="preserve">КПП 222345001</w:t>
            </w:r>
            <w:r>
              <w:rPr>
                <w:bCs/>
                <w:sz w:val="22"/>
                <w:szCs w:val="22"/>
              </w:rPr>
            </w:r>
            <w:r>
              <w:rPr>
                <w:bCs/>
                <w:sz w:val="22"/>
                <w:szCs w:val="22"/>
              </w:rPr>
            </w:r>
          </w:p>
          <w:p>
            <w:pPr>
              <w:rPr>
                <w:sz w:val="22"/>
                <w:szCs w:val="22"/>
              </w:rPr>
            </w:pPr>
            <w:r>
              <w:rPr>
                <w:sz w:val="22"/>
                <w:szCs w:val="22"/>
              </w:rPr>
              <w:t xml:space="preserve">Банковские реквизиты:</w:t>
            </w:r>
            <w:r>
              <w:rPr>
                <w:sz w:val="22"/>
                <w:szCs w:val="22"/>
              </w:rPr>
            </w:r>
            <w:r>
              <w:rPr>
                <w:sz w:val="22"/>
                <w:szCs w:val="22"/>
              </w:rPr>
            </w:r>
          </w:p>
          <w:p>
            <w:pPr>
              <w:rPr>
                <w:sz w:val="22"/>
                <w:szCs w:val="22"/>
              </w:rPr>
            </w:pPr>
            <w:r>
              <w:rPr>
                <w:sz w:val="22"/>
                <w:szCs w:val="22"/>
              </w:rPr>
              <w:t xml:space="preserve">Банк ГПБ (АО),</w:t>
            </w:r>
            <w:r>
              <w:rPr>
                <w:sz w:val="22"/>
                <w:szCs w:val="22"/>
              </w:rPr>
            </w:r>
            <w:r>
              <w:rPr>
                <w:sz w:val="22"/>
                <w:szCs w:val="22"/>
              </w:rPr>
            </w:r>
          </w:p>
          <w:p>
            <w:pPr>
              <w:rPr>
                <w:sz w:val="22"/>
                <w:szCs w:val="22"/>
              </w:rPr>
            </w:pPr>
            <w:r>
              <w:rPr>
                <w:sz w:val="22"/>
                <w:szCs w:val="22"/>
              </w:rPr>
              <w:t xml:space="preserve">р/с 40702810692000004017</w:t>
            </w:r>
            <w:r>
              <w:rPr>
                <w:sz w:val="22"/>
                <w:szCs w:val="22"/>
              </w:rPr>
            </w:r>
            <w:r>
              <w:rPr>
                <w:sz w:val="22"/>
                <w:szCs w:val="22"/>
              </w:rPr>
            </w:r>
          </w:p>
          <w:p>
            <w:pPr>
              <w:rPr>
                <w:sz w:val="22"/>
                <w:szCs w:val="22"/>
              </w:rPr>
            </w:pPr>
            <w:r>
              <w:rPr>
                <w:sz w:val="22"/>
                <w:szCs w:val="22"/>
              </w:rPr>
              <w:t xml:space="preserve">к/с 30101810200000000823</w:t>
            </w:r>
            <w:r>
              <w:rPr>
                <w:sz w:val="22"/>
                <w:szCs w:val="22"/>
              </w:rPr>
            </w:r>
            <w:r>
              <w:rPr>
                <w:sz w:val="22"/>
                <w:szCs w:val="22"/>
              </w:rPr>
            </w:r>
          </w:p>
          <w:p>
            <w:pPr>
              <w:rPr>
                <w:sz w:val="22"/>
                <w:szCs w:val="22"/>
              </w:rPr>
            </w:pPr>
            <w:r>
              <w:rPr>
                <w:sz w:val="22"/>
                <w:szCs w:val="22"/>
              </w:rPr>
              <w:t xml:space="preserve">БИК 044525823</w:t>
            </w:r>
            <w:r>
              <w:rPr>
                <w:sz w:val="22"/>
                <w:szCs w:val="22"/>
              </w:rPr>
            </w:r>
            <w:r>
              <w:rPr>
                <w:sz w:val="22"/>
                <w:szCs w:val="22"/>
              </w:rPr>
            </w:r>
          </w:p>
          <w:p>
            <w:pPr>
              <w:rPr>
                <w:sz w:val="22"/>
                <w:szCs w:val="22"/>
              </w:rPr>
            </w:pPr>
            <w:r>
              <w:rPr>
                <w:sz w:val="22"/>
                <w:szCs w:val="22"/>
              </w:rPr>
              <w:t xml:space="preserve">тел.  +7 (495) 664-88-40</w:t>
            </w:r>
            <w:r>
              <w:rPr>
                <w:sz w:val="22"/>
                <w:szCs w:val="22"/>
              </w:rPr>
            </w:r>
            <w:r>
              <w:rPr>
                <w:sz w:val="22"/>
                <w:szCs w:val="22"/>
              </w:rPr>
            </w:r>
          </w:p>
          <w:p>
            <w:pPr>
              <w:rPr>
                <w:sz w:val="22"/>
                <w:szCs w:val="22"/>
              </w:rPr>
            </w:pPr>
            <w:r>
              <w:rPr>
                <w:sz w:val="22"/>
                <w:szCs w:val="22"/>
              </w:rPr>
              <w:t xml:space="preserve">Факс</w:t>
            </w:r>
            <w:r>
              <w:rPr>
                <w:sz w:val="22"/>
                <w:szCs w:val="22"/>
              </w:rPr>
              <w:t xml:space="preserve"> +7(495) 664-88-41</w:t>
            </w:r>
            <w:r>
              <w:rPr>
                <w:sz w:val="22"/>
                <w:szCs w:val="22"/>
              </w:rPr>
            </w:r>
            <w:r>
              <w:rPr>
                <w:sz w:val="22"/>
                <w:szCs w:val="22"/>
              </w:rPr>
            </w:r>
          </w:p>
          <w:p>
            <w:pPr>
              <w:shd w:val="clear" w:color="auto" w:fill="ffffff"/>
              <w:rPr>
                <w:sz w:val="22"/>
                <w:szCs w:val="22"/>
              </w:rPr>
            </w:pPr>
            <w:r>
              <w:rPr>
                <w:sz w:val="22"/>
                <w:szCs w:val="22"/>
              </w:rPr>
            </w:r>
            <w:r>
              <w:rPr>
                <w:sz w:val="22"/>
                <w:szCs w:val="22"/>
              </w:rPr>
            </w:r>
            <w:r>
              <w:rPr>
                <w:sz w:val="22"/>
                <w:szCs w:val="22"/>
              </w:rPr>
            </w:r>
          </w:p>
          <w:p>
            <w:pPr>
              <w:shd w:val="clear" w:color="auto" w:fill="ffffff"/>
              <w:rPr>
                <w:sz w:val="22"/>
                <w:szCs w:val="22"/>
              </w:rPr>
            </w:pPr>
            <w:r>
              <w:rPr>
                <w:sz w:val="22"/>
                <w:szCs w:val="22"/>
              </w:rPr>
            </w:r>
            <w:r>
              <w:rPr>
                <w:sz w:val="22"/>
                <w:szCs w:val="22"/>
              </w:rPr>
            </w:r>
            <w:r>
              <w:rPr>
                <w:sz w:val="22"/>
                <w:szCs w:val="22"/>
              </w:rPr>
            </w:r>
          </w:p>
        </w:tc>
        <w:tc>
          <w:tcPr>
            <w:tcW w:w="5230" w:type="dxa"/>
            <w:textDirection w:val="lrTb"/>
            <w:noWrap w:val="false"/>
          </w:tcPr>
          <w:p>
            <w:pPr>
              <w:ind w:right="261"/>
              <w:widowControl w:val="off"/>
              <w:rPr>
                <w:b/>
                <w:sz w:val="22"/>
                <w:szCs w:val="22"/>
              </w:rPr>
            </w:pPr>
            <w:r>
              <w:rPr>
                <w:b/>
                <w:sz w:val="22"/>
                <w:szCs w:val="22"/>
              </w:rPr>
              <w:t xml:space="preserve">Поставщик</w:t>
            </w:r>
            <w:r>
              <w:rPr>
                <w:b/>
                <w:sz w:val="22"/>
                <w:szCs w:val="22"/>
              </w:rPr>
            </w:r>
            <w:r>
              <w:rPr>
                <w:b/>
                <w:sz w:val="22"/>
                <w:szCs w:val="22"/>
              </w:rPr>
            </w:r>
          </w:p>
        </w:tc>
      </w:tr>
      <w:tr>
        <w:tblPrEx/>
        <w:trPr>
          <w:jc w:val="center"/>
          <w:trHeight w:val="1116"/>
        </w:trPr>
        <w:tc>
          <w:tcPr>
            <w:tcW w:w="5529" w:type="dxa"/>
            <w:textDirection w:val="lrTb"/>
            <w:noWrap w:val="false"/>
          </w:tcPr>
          <w:p>
            <w:pPr>
              <w:ind w:right="-1"/>
              <w:jc w:val="right"/>
              <w:rPr>
                <w:b/>
                <w:bCs/>
                <w:sz w:val="22"/>
                <w:szCs w:val="22"/>
              </w:rPr>
            </w:pPr>
            <w:r>
              <w:rPr>
                <w:b/>
                <w:bCs/>
                <w:sz w:val="22"/>
                <w:szCs w:val="22"/>
              </w:rPr>
              <w:t xml:space="preserve">От Покупателя:</w:t>
            </w:r>
            <w:r>
              <w:rPr>
                <w:b/>
                <w:bCs/>
                <w:sz w:val="22"/>
                <w:szCs w:val="22"/>
              </w:rPr>
            </w:r>
            <w:r>
              <w:rPr>
                <w:b/>
                <w:bCs/>
                <w:sz w:val="22"/>
                <w:szCs w:val="22"/>
              </w:rPr>
            </w:r>
          </w:p>
          <w:p>
            <w:pPr>
              <w:ind w:right="-1"/>
              <w:jc w:val="right"/>
              <w:rPr>
                <w:sz w:val="22"/>
                <w:szCs w:val="22"/>
              </w:rPr>
            </w:pPr>
            <w:r>
              <w:rPr>
                <w:bCs/>
                <w:sz w:val="22"/>
                <w:szCs w:val="22"/>
              </w:rPr>
            </w:r>
            <w:r>
              <w:rPr>
                <w:sz w:val="22"/>
                <w:szCs w:val="22"/>
              </w:rPr>
            </w:r>
            <w:r>
              <w:rPr>
                <w:sz w:val="22"/>
                <w:szCs w:val="22"/>
              </w:rPr>
            </w:r>
          </w:p>
          <w:p>
            <w:pPr>
              <w:ind w:right="-1"/>
              <w:jc w:val="right"/>
              <w:rPr>
                <w:sz w:val="22"/>
                <w:szCs w:val="22"/>
              </w:rPr>
            </w:pPr>
            <w:r>
              <w:rPr>
                <w:bCs/>
                <w:sz w:val="22"/>
                <w:szCs w:val="22"/>
              </w:rPr>
            </w:r>
            <w:r>
              <w:rPr>
                <w:sz w:val="22"/>
                <w:szCs w:val="22"/>
              </w:rPr>
            </w:r>
            <w:r>
              <w:rPr>
                <w:sz w:val="22"/>
                <w:szCs w:val="22"/>
              </w:rPr>
            </w:r>
          </w:p>
          <w:p>
            <w:pPr>
              <w:ind w:right="261"/>
              <w:jc w:val="right"/>
              <w:widowControl w:val="off"/>
              <w:rPr>
                <w:b/>
                <w:sz w:val="22"/>
                <w:szCs w:val="22"/>
              </w:rPr>
            </w:pPr>
            <w:r>
              <w:rPr>
                <w:bCs/>
                <w:sz w:val="22"/>
                <w:szCs w:val="22"/>
              </w:rPr>
              <w:t xml:space="preserve">__________________/                                  /</w:t>
            </w:r>
            <w:r>
              <w:rPr>
                <w:b/>
                <w:sz w:val="22"/>
                <w:szCs w:val="22"/>
              </w:rPr>
            </w:r>
            <w:r>
              <w:rPr>
                <w:b/>
                <w:sz w:val="22"/>
                <w:szCs w:val="22"/>
              </w:rPr>
            </w:r>
          </w:p>
        </w:tc>
        <w:tc>
          <w:tcPr>
            <w:tcW w:w="5230" w:type="dxa"/>
            <w:textDirection w:val="lrTb"/>
            <w:noWrap w:val="false"/>
          </w:tcPr>
          <w:p>
            <w:pPr>
              <w:jc w:val="right"/>
              <w:widowControl w:val="off"/>
              <w:rPr>
                <w:b/>
                <w:sz w:val="22"/>
                <w:szCs w:val="22"/>
              </w:rPr>
            </w:pPr>
            <w:r>
              <w:rPr>
                <w:b/>
                <w:sz w:val="22"/>
                <w:szCs w:val="22"/>
              </w:rPr>
              <w:t xml:space="preserve">От Поставщика:</w:t>
            </w:r>
            <w:r>
              <w:rPr>
                <w:b/>
                <w:sz w:val="22"/>
                <w:szCs w:val="22"/>
              </w:rPr>
            </w:r>
            <w:r>
              <w:rPr>
                <w:b/>
                <w:sz w:val="22"/>
                <w:szCs w:val="22"/>
              </w:rPr>
            </w:r>
          </w:p>
          <w:p>
            <w:pPr>
              <w:ind w:right="-1"/>
              <w:jc w:val="right"/>
              <w:rPr>
                <w:bCs/>
                <w:sz w:val="22"/>
                <w:szCs w:val="22"/>
              </w:rPr>
            </w:pPr>
            <w:r>
              <w:rPr>
                <w:bCs/>
                <w:sz w:val="22"/>
                <w:szCs w:val="22"/>
              </w:rPr>
            </w:r>
            <w:r>
              <w:rPr>
                <w:bCs/>
                <w:sz w:val="22"/>
                <w:szCs w:val="22"/>
              </w:rPr>
            </w:r>
            <w:r>
              <w:rPr>
                <w:bCs/>
                <w:sz w:val="22"/>
                <w:szCs w:val="22"/>
              </w:rPr>
            </w:r>
          </w:p>
          <w:p>
            <w:pPr>
              <w:ind w:right="-1"/>
              <w:jc w:val="right"/>
              <w:rPr>
                <w:bCs/>
                <w:sz w:val="22"/>
                <w:szCs w:val="22"/>
              </w:rPr>
            </w:pPr>
            <w:r>
              <w:rPr>
                <w:bCs/>
                <w:sz w:val="22"/>
                <w:szCs w:val="22"/>
              </w:rPr>
            </w:r>
            <w:r>
              <w:rPr>
                <w:bCs/>
                <w:sz w:val="22"/>
                <w:szCs w:val="22"/>
              </w:rPr>
            </w:r>
            <w:r>
              <w:rPr>
                <w:bCs/>
                <w:sz w:val="22"/>
                <w:szCs w:val="22"/>
              </w:rPr>
            </w:r>
          </w:p>
          <w:p>
            <w:pPr>
              <w:ind w:right="261"/>
              <w:jc w:val="right"/>
              <w:widowControl w:val="off"/>
              <w:rPr>
                <w:b/>
                <w:sz w:val="22"/>
              </w:rPr>
            </w:pPr>
            <w:r>
              <w:rPr>
                <w:bCs/>
                <w:sz w:val="22"/>
                <w:szCs w:val="22"/>
              </w:rPr>
              <w:t xml:space="preserve">__________________/ </w:t>
            </w:r>
            <w:r>
              <w:rPr>
                <w:bCs/>
                <w:sz w:val="22"/>
                <w:szCs w:val="22"/>
              </w:rPr>
              <w:t xml:space="preserve">                                   /</w:t>
            </w:r>
            <w:r>
              <w:rPr>
                <w:b/>
                <w:sz w:val="22"/>
              </w:rPr>
            </w:r>
            <w:r>
              <w:rPr>
                <w:b/>
                <w:sz w:val="22"/>
              </w:rPr>
            </w:r>
          </w:p>
        </w:tc>
      </w:tr>
    </w:tbl>
    <w:p>
      <w:pPr>
        <w:ind w:right="-1"/>
        <w:jc w:val="right"/>
        <w:rPr>
          <w:bCs/>
        </w:rPr>
      </w:pPr>
      <w:r>
        <w:rPr>
          <w:bCs/>
        </w:rPr>
      </w:r>
      <w:r>
        <w:rPr>
          <w:bCs/>
        </w:rPr>
      </w:r>
      <w:r>
        <w:rPr>
          <w:bCs/>
        </w:rPr>
      </w:r>
    </w:p>
    <w:p>
      <w:pPr>
        <w:ind w:right="-1"/>
        <w:jc w:val="right"/>
        <w:rPr>
          <w:bCs/>
        </w:rPr>
        <w:sectPr>
          <w:headerReference w:type="default" r:id="rId9"/>
          <w:headerReference w:type="even" r:id="rId10"/>
          <w:footerReference w:type="default" r:id="rId14"/>
          <w:footnotePr/>
          <w:endnotePr/>
          <w:type w:val="nextPage"/>
          <w:pgSz w:w="11906" w:h="16838" w:orient="portrait"/>
          <w:pgMar w:top="567" w:right="567" w:bottom="567" w:left="851" w:header="181" w:footer="709" w:gutter="0"/>
          <w:cols w:num="1" w:sep="0" w:space="708" w:equalWidth="1"/>
          <w:docGrid w:linePitch="360"/>
        </w:sectPr>
      </w:pPr>
      <w:r>
        <w:rPr>
          <w:bCs/>
        </w:rPr>
      </w:r>
      <w:r>
        <w:rPr>
          <w:bCs/>
        </w:rPr>
      </w:r>
      <w:r>
        <w:rPr>
          <w:bCs/>
        </w:rPr>
      </w:r>
    </w:p>
    <w:p>
      <w:pPr>
        <w:ind w:right="-1"/>
        <w:jc w:val="right"/>
        <w:rPr>
          <w:bCs/>
        </w:rPr>
      </w:pPr>
      <w:r>
        <w:rPr>
          <w:b/>
          <w:bCs/>
        </w:rPr>
        <w:t xml:space="preserve">ФОРМА</w:t>
      </w:r>
      <w:r>
        <w:rPr>
          <w:bCs/>
        </w:rPr>
        <w:t xml:space="preserve">                                                                                                                                                                                                                  Приложение №1</w:t>
      </w:r>
      <w:r>
        <w:rPr>
          <w:bCs/>
        </w:rPr>
      </w:r>
      <w:r>
        <w:rPr>
          <w:bCs/>
        </w:rPr>
      </w:r>
    </w:p>
    <w:p>
      <w:pPr>
        <w:ind w:right="-1"/>
        <w:jc w:val="right"/>
        <w:rPr>
          <w:bCs/>
        </w:rPr>
      </w:pPr>
      <w:r>
        <w:rPr>
          <w:bCs/>
        </w:rPr>
        <w:t xml:space="preserve">к Договору поставки №                              </w:t>
      </w:r>
      <w:r>
        <w:rPr>
          <w:bCs/>
        </w:rPr>
      </w:r>
      <w:r>
        <w:rPr>
          <w:bCs/>
        </w:rPr>
      </w:r>
    </w:p>
    <w:p>
      <w:pPr>
        <w:ind w:right="-1"/>
        <w:jc w:val="right"/>
      </w:pPr>
      <w:r>
        <w:t xml:space="preserve">«   »                                   202  г.</w:t>
      </w:r>
      <w:r/>
    </w:p>
    <w:p>
      <w:pPr>
        <w:pStyle w:val="1016"/>
        <w:ind w:left="0"/>
        <w:jc w:val="center"/>
        <w:rPr>
          <w:b/>
        </w:rPr>
      </w:pPr>
      <w:r>
        <w:rPr>
          <w:b/>
        </w:rPr>
      </w:r>
      <w:r>
        <w:rPr>
          <w:b/>
        </w:rPr>
      </w:r>
      <w:r>
        <w:rPr>
          <w:b/>
        </w:rPr>
      </w:r>
    </w:p>
    <w:p>
      <w:pPr>
        <w:jc w:val="center"/>
        <w:widowControl w:val="off"/>
        <w:tabs>
          <w:tab w:val="center" w:pos="4677" w:leader="none"/>
          <w:tab w:val="right" w:pos="9355" w:leader="none"/>
        </w:tabs>
        <w:rPr>
          <w:b/>
          <w:lang w:eastAsia="en-US"/>
        </w:rPr>
      </w:pPr>
      <w:r>
        <w:rPr>
          <w:b/>
          <w:lang w:eastAsia="en-US"/>
        </w:rPr>
        <w:t xml:space="preserve">Форма по раскрытию информации в отношении всей цепочки собственников, включая бенефициаров (в том числе конечных)</w:t>
      </w:r>
      <w:r>
        <w:rPr>
          <w:b/>
          <w:lang w:eastAsia="en-US"/>
        </w:rPr>
      </w:r>
      <w:r>
        <w:rPr>
          <w:b/>
          <w:lang w:eastAsia="en-US"/>
        </w:rPr>
      </w:r>
    </w:p>
    <w:p>
      <w:pPr>
        <w:jc w:val="center"/>
        <w:widowControl w:val="off"/>
        <w:tabs>
          <w:tab w:val="center" w:pos="4677" w:leader="none"/>
          <w:tab w:val="right" w:pos="9355" w:leader="none"/>
        </w:tabs>
        <w:rPr>
          <w:i/>
          <w:lang w:eastAsia="en-US"/>
        </w:rPr>
      </w:pPr>
      <w:r>
        <w:rPr>
          <w:i/>
          <w:lang w:eastAsia="en-US"/>
        </w:rPr>
        <w:t xml:space="preserve">Организационно-правовая форма (полностью) «Наименование контрагента»</w:t>
      </w:r>
      <w:r>
        <w:rPr>
          <w:i/>
          <w:lang w:eastAsia="en-US"/>
        </w:rPr>
      </w:r>
      <w:r>
        <w:rPr>
          <w:i/>
          <w:lang w:eastAsia="en-US"/>
        </w:rPr>
      </w:r>
    </w:p>
    <w:tbl>
      <w:tblPr>
        <w:tblpPr w:horzAnchor="margin" w:tblpXSpec="left" w:vertAnchor="text" w:tblpY="189" w:leftFromText="180" w:topFromText="0" w:rightFromText="180" w:bottomFromText="0"/>
        <w:tblW w:w="15134" w:type="dxa"/>
        <w:tblLook w:val="00A0" w:firstRow="1" w:lastRow="0" w:firstColumn="1" w:lastColumn="0" w:noHBand="0" w:noVBand="0"/>
      </w:tblPr>
      <w:tblGrid>
        <w:gridCol w:w="3437"/>
        <w:gridCol w:w="2767"/>
        <w:gridCol w:w="8930"/>
      </w:tblGrid>
      <w:tr>
        <w:tblPrEx/>
        <w:trPr/>
        <w:tc>
          <w:tcPr>
            <w:tcW w:w="3437" w:type="dxa"/>
            <w:vAlign w:val="center"/>
            <w:textDirection w:val="lrTb"/>
            <w:noWrap w:val="false"/>
          </w:tcPr>
          <w:p>
            <w:r/>
            <w:r/>
          </w:p>
        </w:tc>
        <w:tc>
          <w:tcPr>
            <w:tcW w:w="2767" w:type="dxa"/>
            <w:vAlign w:val="center"/>
            <w:textDirection w:val="lrTb"/>
            <w:noWrap w:val="false"/>
          </w:tcPr>
          <w:p>
            <w:pPr>
              <w:jc w:val="center"/>
            </w:pPr>
            <w:r/>
            <w:r/>
          </w:p>
        </w:tc>
        <w:tc>
          <w:tcPr>
            <w:tcW w:w="8930" w:type="dxa"/>
            <w:vAlign w:val="center"/>
            <w:textDirection w:val="lrTb"/>
            <w:noWrap w:val="false"/>
          </w:tcPr>
          <w:p>
            <w:pPr>
              <w:jc w:val="right"/>
            </w:pPr>
            <w:r>
              <w:rPr>
                <w:sz w:val="22"/>
                <w:highlight w:val="lightGray"/>
              </w:rPr>
              <w:t xml:space="preserve">_____________</w:t>
            </w:r>
            <w:r>
              <w:t xml:space="preserve"> 202  г.</w:t>
            </w:r>
            <w:r/>
          </w:p>
        </w:tc>
      </w:tr>
    </w:tbl>
    <w:p>
      <w:pPr>
        <w:jc w:val="center"/>
        <w:tabs>
          <w:tab w:val="center" w:pos="4677" w:leader="none"/>
          <w:tab w:val="right" w:pos="9355" w:leader="none"/>
        </w:tabs>
        <w:rPr>
          <w:lang w:eastAsia="en-US"/>
        </w:rPr>
      </w:pPr>
      <w:r>
        <w:rPr>
          <w:lang w:eastAsia="en-US"/>
        </w:rPr>
      </w:r>
      <w:r>
        <w:rPr>
          <w:lang w:eastAsia="en-US"/>
        </w:rPr>
      </w:r>
      <w:r>
        <w:rPr>
          <w:lang w:eastAsia="en-US"/>
        </w:rPr>
      </w:r>
    </w:p>
    <w:tbl>
      <w:tblPr>
        <w:tblpPr w:horzAnchor="margin" w:tblpXSpec="left" w:vertAnchor="text" w:tblpY="86" w:leftFromText="180" w:topFromText="0" w:rightFromText="180" w:bottomFromText="0"/>
        <w:tblW w:w="15843" w:type="dxa"/>
        <w:tblLayout w:type="fixed"/>
        <w:tblLook w:val="00A0" w:firstRow="1" w:lastRow="0" w:firstColumn="1" w:lastColumn="0" w:noHBand="0" w:noVBand="0"/>
      </w:tblPr>
      <w:tblGrid>
        <w:gridCol w:w="534"/>
        <w:gridCol w:w="567"/>
        <w:gridCol w:w="708"/>
        <w:gridCol w:w="1276"/>
        <w:gridCol w:w="851"/>
        <w:gridCol w:w="1275"/>
        <w:gridCol w:w="1560"/>
        <w:gridCol w:w="425"/>
        <w:gridCol w:w="567"/>
        <w:gridCol w:w="709"/>
        <w:gridCol w:w="1275"/>
        <w:gridCol w:w="1276"/>
        <w:gridCol w:w="1559"/>
        <w:gridCol w:w="1276"/>
        <w:gridCol w:w="1985"/>
      </w:tblGrid>
      <w:tr>
        <w:tblPrEx/>
        <w:trPr>
          <w:trHeight w:val="416"/>
        </w:trPr>
        <w:tc>
          <w:tcPr>
            <w:shd w:val="clear" w:color="auto" w:fill="bfbfbf"/>
            <w:tcBorders>
              <w:top w:val="single" w:color="auto" w:sz="4" w:space="0"/>
              <w:left w:val="single" w:color="auto" w:sz="4" w:space="0"/>
              <w:bottom w:val="single" w:color="auto" w:sz="4" w:space="0"/>
              <w:right w:val="single" w:color="auto" w:sz="4" w:space="0"/>
            </w:tcBorders>
            <w:tcW w:w="534" w:type="dxa"/>
            <w:vAlign w:val="center"/>
            <w:vMerge w:val="restart"/>
            <w:textDirection w:val="lrTb"/>
            <w:noWrap w:val="false"/>
          </w:tcPr>
          <w:p>
            <w:pPr>
              <w:jc w:val="center"/>
              <w:rPr>
                <w:color w:val="000000"/>
                <w:sz w:val="16"/>
                <w:szCs w:val="16"/>
              </w:rPr>
            </w:pPr>
            <w:r>
              <w:rPr>
                <w:color w:val="000000"/>
                <w:sz w:val="16"/>
                <w:szCs w:val="16"/>
              </w:rPr>
            </w:r>
            <w:r>
              <w:rPr>
                <w:color w:val="000000"/>
                <w:sz w:val="16"/>
                <w:szCs w:val="16"/>
              </w:rPr>
            </w:r>
            <w:r>
              <w:rPr>
                <w:color w:val="000000"/>
                <w:sz w:val="16"/>
                <w:szCs w:val="16"/>
              </w:rPr>
            </w:r>
          </w:p>
          <w:p>
            <w:pPr>
              <w:jc w:val="center"/>
              <w:rPr>
                <w:color w:val="000000"/>
                <w:sz w:val="16"/>
                <w:szCs w:val="16"/>
              </w:rPr>
            </w:pPr>
            <w:r>
              <w:rPr>
                <w:color w:val="000000"/>
                <w:sz w:val="16"/>
                <w:szCs w:val="16"/>
              </w:rPr>
            </w:r>
            <w:r>
              <w:rPr>
                <w:color w:val="000000"/>
                <w:sz w:val="16"/>
                <w:szCs w:val="16"/>
              </w:rPr>
            </w:r>
            <w:r>
              <w:rPr>
                <w:color w:val="000000"/>
                <w:sz w:val="16"/>
                <w:szCs w:val="16"/>
              </w:rPr>
            </w:r>
          </w:p>
          <w:p>
            <w:pPr>
              <w:jc w:val="center"/>
              <w:rPr>
                <w:color w:val="000000"/>
                <w:sz w:val="16"/>
                <w:szCs w:val="16"/>
              </w:rPr>
            </w:pPr>
            <w:r>
              <w:rPr>
                <w:color w:val="000000"/>
                <w:sz w:val="16"/>
                <w:szCs w:val="16"/>
              </w:rPr>
            </w:r>
            <w:r>
              <w:rPr>
                <w:color w:val="000000"/>
                <w:sz w:val="16"/>
                <w:szCs w:val="16"/>
              </w:rPr>
            </w:r>
            <w:r>
              <w:rPr>
                <w:color w:val="000000"/>
                <w:sz w:val="16"/>
                <w:szCs w:val="16"/>
              </w:rPr>
            </w:r>
          </w:p>
          <w:p>
            <w:pPr>
              <w:jc w:val="center"/>
              <w:rPr>
                <w:color w:val="000000"/>
                <w:sz w:val="16"/>
                <w:szCs w:val="16"/>
              </w:rPr>
            </w:pPr>
            <w:r>
              <w:rPr>
                <w:color w:val="000000"/>
                <w:sz w:val="16"/>
                <w:szCs w:val="16"/>
              </w:rPr>
              <w:t xml:space="preserve">№ п/п</w:t>
            </w:r>
            <w:r>
              <w:rPr>
                <w:color w:val="000000"/>
                <w:sz w:val="16"/>
                <w:szCs w:val="16"/>
              </w:rPr>
            </w:r>
            <w:r>
              <w:rPr>
                <w:color w:val="000000"/>
                <w:sz w:val="16"/>
                <w:szCs w:val="16"/>
              </w:rPr>
            </w:r>
          </w:p>
        </w:tc>
        <w:tc>
          <w:tcPr>
            <w:gridSpan w:val="6"/>
            <w:shd w:val="clear" w:color="auto" w:fill="bfbfbf"/>
            <w:tcBorders>
              <w:top w:val="single" w:color="auto" w:sz="4" w:space="0"/>
              <w:left w:val="none" w:color="000000" w:sz="4" w:space="0"/>
              <w:bottom w:val="single" w:color="auto" w:sz="4" w:space="0"/>
              <w:right w:val="single" w:color="auto" w:sz="4" w:space="0"/>
            </w:tcBorders>
            <w:tcW w:w="6237" w:type="dxa"/>
            <w:vAlign w:val="center"/>
            <w:textDirection w:val="lrTb"/>
            <w:noWrap w:val="false"/>
          </w:tcPr>
          <w:p>
            <w:pPr>
              <w:jc w:val="center"/>
              <w:rPr>
                <w:color w:val="000000"/>
                <w:sz w:val="16"/>
                <w:szCs w:val="16"/>
              </w:rPr>
            </w:pPr>
            <w:r>
              <w:rPr>
                <w:color w:val="000000"/>
                <w:sz w:val="16"/>
                <w:szCs w:val="16"/>
              </w:rPr>
              <w:t xml:space="preserve">Наименование контрагента (ИНН, вид деятельности)</w:t>
            </w:r>
            <w:r>
              <w:rPr>
                <w:color w:val="000000"/>
                <w:sz w:val="16"/>
                <w:szCs w:val="16"/>
              </w:rPr>
            </w:r>
            <w:r>
              <w:rPr>
                <w:color w:val="000000"/>
                <w:sz w:val="16"/>
                <w:szCs w:val="16"/>
              </w:rPr>
            </w:r>
          </w:p>
        </w:tc>
        <w:tc>
          <w:tcPr>
            <w:gridSpan w:val="8"/>
            <w:shd w:val="clear" w:color="auto" w:fill="bfbfbf"/>
            <w:tcBorders>
              <w:top w:val="single" w:color="auto" w:sz="4" w:space="0"/>
              <w:left w:val="none" w:color="000000" w:sz="4" w:space="0"/>
              <w:bottom w:val="single" w:color="auto" w:sz="4" w:space="0"/>
              <w:right w:val="single" w:color="auto" w:sz="4" w:space="0"/>
            </w:tcBorders>
            <w:tcW w:w="9072" w:type="dxa"/>
            <w:vAlign w:val="center"/>
            <w:textDirection w:val="lrTb"/>
            <w:noWrap w:val="false"/>
          </w:tcPr>
          <w:p>
            <w:pPr>
              <w:jc w:val="center"/>
              <w:rPr>
                <w:color w:val="000000"/>
                <w:sz w:val="16"/>
                <w:szCs w:val="16"/>
              </w:rPr>
            </w:pPr>
            <w:r>
              <w:rPr>
                <w:color w:val="000000"/>
                <w:sz w:val="16"/>
                <w:szCs w:val="16"/>
              </w:rPr>
              <w:t xml:space="preserve">Информация о цепочке собственников, включая </w:t>
            </w:r>
            <w:r>
              <w:rPr>
                <w:color w:val="000000"/>
                <w:sz w:val="16"/>
                <w:szCs w:val="16"/>
              </w:rPr>
              <w:t xml:space="preserve">бенефициаров(</w:t>
            </w:r>
            <w:r>
              <w:rPr>
                <w:color w:val="000000"/>
                <w:sz w:val="16"/>
                <w:szCs w:val="16"/>
              </w:rPr>
              <w:t xml:space="preserve">в том числе конечных)</w:t>
            </w:r>
            <w:r>
              <w:rPr>
                <w:color w:val="000000"/>
                <w:sz w:val="16"/>
                <w:szCs w:val="16"/>
              </w:rPr>
            </w:r>
            <w:r>
              <w:rPr>
                <w:color w:val="000000"/>
                <w:sz w:val="16"/>
                <w:szCs w:val="16"/>
              </w:rPr>
            </w:r>
          </w:p>
        </w:tc>
      </w:tr>
      <w:tr>
        <w:tblPrEx/>
        <w:trPr>
          <w:trHeight w:val="1575"/>
        </w:trPr>
        <w:tc>
          <w:tcPr>
            <w:shd w:val="clear" w:color="auto" w:fill="bfbfbf"/>
            <w:tcBorders>
              <w:top w:val="single" w:color="auto" w:sz="4" w:space="0"/>
              <w:left w:val="single" w:color="auto" w:sz="4" w:space="0"/>
              <w:bottom w:val="single" w:color="auto" w:sz="4" w:space="0"/>
              <w:right w:val="single" w:color="auto" w:sz="4" w:space="0"/>
            </w:tcBorders>
            <w:tcW w:w="534" w:type="dxa"/>
            <w:vAlign w:val="center"/>
            <w:vMerge w:val="continue"/>
            <w:textDirection w:val="lrTb"/>
            <w:noWrap w:val="false"/>
          </w:tcPr>
          <w:p>
            <w:pPr>
              <w:rPr>
                <w:color w:val="000000"/>
                <w:sz w:val="16"/>
                <w:szCs w:val="16"/>
              </w:rPr>
            </w:pPr>
            <w:r>
              <w:rPr>
                <w:color w:val="000000"/>
                <w:sz w:val="16"/>
                <w:szCs w:val="16"/>
              </w:rPr>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567" w:type="dxa"/>
            <w:vAlign w:val="center"/>
            <w:textDirection w:val="lrTb"/>
            <w:noWrap w:val="false"/>
          </w:tcPr>
          <w:p>
            <w:pPr>
              <w:jc w:val="center"/>
              <w:rPr>
                <w:color w:val="000000"/>
                <w:sz w:val="16"/>
                <w:szCs w:val="16"/>
              </w:rPr>
            </w:pPr>
            <w:r>
              <w:rPr>
                <w:color w:val="000000"/>
                <w:sz w:val="16"/>
                <w:szCs w:val="16"/>
              </w:rPr>
              <w:t xml:space="preserve">ИНН</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708" w:type="dxa"/>
            <w:vAlign w:val="center"/>
            <w:textDirection w:val="lrTb"/>
            <w:noWrap w:val="false"/>
          </w:tcPr>
          <w:p>
            <w:pPr>
              <w:jc w:val="center"/>
              <w:rPr>
                <w:color w:val="000000"/>
                <w:sz w:val="16"/>
                <w:szCs w:val="16"/>
              </w:rPr>
            </w:pPr>
            <w:r>
              <w:rPr>
                <w:color w:val="000000"/>
                <w:sz w:val="16"/>
                <w:szCs w:val="16"/>
              </w:rPr>
              <w:t xml:space="preserve">ОГРН</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jc w:val="center"/>
              <w:rPr>
                <w:color w:val="000000"/>
                <w:sz w:val="16"/>
                <w:szCs w:val="16"/>
              </w:rPr>
            </w:pPr>
            <w:r>
              <w:rPr>
                <w:color w:val="000000"/>
                <w:sz w:val="16"/>
                <w:szCs w:val="16"/>
              </w:rPr>
              <w:t xml:space="preserve">Наименование краткое</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851" w:type="dxa"/>
            <w:vAlign w:val="center"/>
            <w:textDirection w:val="lrTb"/>
            <w:noWrap w:val="false"/>
          </w:tcPr>
          <w:p>
            <w:pPr>
              <w:jc w:val="center"/>
              <w:rPr>
                <w:color w:val="000000"/>
                <w:sz w:val="16"/>
                <w:szCs w:val="16"/>
              </w:rPr>
            </w:pPr>
            <w:r>
              <w:rPr>
                <w:color w:val="000000"/>
                <w:sz w:val="16"/>
                <w:szCs w:val="16"/>
              </w:rPr>
              <w:t xml:space="preserve">Код ОКВЭД</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t xml:space="preserve">Фамилия, Имя, Отчество руководителя</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560" w:type="dxa"/>
            <w:vAlign w:val="center"/>
            <w:textDirection w:val="lrTb"/>
            <w:noWrap w:val="false"/>
          </w:tcPr>
          <w:p>
            <w:pPr>
              <w:jc w:val="center"/>
              <w:rPr>
                <w:color w:val="000000"/>
                <w:sz w:val="16"/>
                <w:szCs w:val="16"/>
              </w:rPr>
            </w:pPr>
            <w:r>
              <w:rPr>
                <w:color w:val="000000"/>
                <w:sz w:val="16"/>
                <w:szCs w:val="16"/>
              </w:rPr>
              <w:t xml:space="preserve">Серия и номер документа удостоверяющего личность руководителя</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425" w:type="dxa"/>
            <w:vAlign w:val="center"/>
            <w:textDirection w:val="lrTb"/>
            <w:noWrap w:val="false"/>
          </w:tcPr>
          <w:p>
            <w:pPr>
              <w:jc w:val="center"/>
              <w:rPr>
                <w:color w:val="000000"/>
                <w:sz w:val="16"/>
                <w:szCs w:val="16"/>
              </w:rPr>
            </w:pPr>
            <w:r>
              <w:rPr>
                <w:color w:val="000000"/>
                <w:sz w:val="16"/>
                <w:szCs w:val="16"/>
              </w:rPr>
              <w:t xml:space="preserve">№</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567" w:type="dxa"/>
            <w:vAlign w:val="center"/>
            <w:textDirection w:val="lrTb"/>
            <w:noWrap w:val="false"/>
          </w:tcPr>
          <w:p>
            <w:pPr>
              <w:jc w:val="center"/>
              <w:rPr>
                <w:color w:val="000000"/>
                <w:sz w:val="16"/>
                <w:szCs w:val="16"/>
              </w:rPr>
            </w:pPr>
            <w:r>
              <w:rPr>
                <w:color w:val="000000"/>
                <w:sz w:val="16"/>
                <w:szCs w:val="16"/>
              </w:rPr>
              <w:t xml:space="preserve">ИНН (при наличии)</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709" w:type="dxa"/>
            <w:vAlign w:val="center"/>
            <w:textDirection w:val="lrTb"/>
            <w:noWrap w:val="false"/>
          </w:tcPr>
          <w:p>
            <w:pPr>
              <w:jc w:val="center"/>
              <w:rPr>
                <w:color w:val="000000"/>
                <w:sz w:val="16"/>
                <w:szCs w:val="16"/>
              </w:rPr>
            </w:pPr>
            <w:r>
              <w:rPr>
                <w:color w:val="000000"/>
                <w:sz w:val="16"/>
                <w:szCs w:val="16"/>
              </w:rPr>
              <w:t xml:space="preserve">ОГРН</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275" w:type="dxa"/>
            <w:vAlign w:val="center"/>
            <w:textDirection w:val="lrTb"/>
            <w:noWrap w:val="false"/>
          </w:tcPr>
          <w:p>
            <w:pPr>
              <w:jc w:val="center"/>
              <w:rPr>
                <w:color w:val="000000"/>
                <w:sz w:val="16"/>
                <w:szCs w:val="16"/>
              </w:rPr>
            </w:pPr>
            <w:r>
              <w:rPr>
                <w:color w:val="000000"/>
                <w:sz w:val="16"/>
                <w:szCs w:val="16"/>
              </w:rPr>
              <w:t xml:space="preserve">Наименование/ ФИО</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ind w:left="-134" w:right="-62"/>
              <w:jc w:val="center"/>
              <w:rPr>
                <w:color w:val="000000"/>
                <w:sz w:val="16"/>
                <w:szCs w:val="16"/>
              </w:rPr>
            </w:pPr>
            <w:r>
              <w:rPr>
                <w:color w:val="000000"/>
                <w:sz w:val="16"/>
                <w:szCs w:val="16"/>
              </w:rPr>
              <w:t xml:space="preserve">Адрес</w:t>
            </w:r>
            <w:r>
              <w:rPr>
                <w:color w:val="000000"/>
                <w:sz w:val="16"/>
                <w:szCs w:val="16"/>
              </w:rPr>
            </w:r>
            <w:r>
              <w:rPr>
                <w:color w:val="000000"/>
                <w:sz w:val="16"/>
                <w:szCs w:val="16"/>
              </w:rPr>
            </w:r>
          </w:p>
          <w:p>
            <w:pPr>
              <w:ind w:left="-134" w:right="-62"/>
              <w:jc w:val="center"/>
              <w:rPr>
                <w:color w:val="000000"/>
                <w:sz w:val="16"/>
                <w:szCs w:val="16"/>
              </w:rPr>
            </w:pPr>
            <w:r>
              <w:rPr>
                <w:color w:val="000000"/>
                <w:sz w:val="16"/>
                <w:szCs w:val="16"/>
              </w:rPr>
              <w:t xml:space="preserve">регистрации</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559" w:type="dxa"/>
            <w:vAlign w:val="center"/>
            <w:textDirection w:val="lrTb"/>
            <w:noWrap w:val="false"/>
          </w:tcPr>
          <w:p>
            <w:pPr>
              <w:ind w:left="-64" w:right="-82"/>
              <w:jc w:val="center"/>
              <w:rPr>
                <w:color w:val="000000"/>
                <w:sz w:val="16"/>
                <w:szCs w:val="16"/>
              </w:rPr>
            </w:pPr>
            <w:r>
              <w:rPr>
                <w:color w:val="000000"/>
                <w:sz w:val="16"/>
                <w:szCs w:val="16"/>
              </w:rPr>
              <w:t xml:space="preserve">Серия и номер документа удостоверяющего личность руководителя (для физических лиц)</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276" w:type="dxa"/>
            <w:vAlign w:val="center"/>
            <w:textDirection w:val="lrTb"/>
            <w:noWrap w:val="false"/>
          </w:tcPr>
          <w:p>
            <w:pPr>
              <w:jc w:val="center"/>
              <w:rPr>
                <w:color w:val="000000"/>
                <w:sz w:val="16"/>
                <w:szCs w:val="16"/>
              </w:rPr>
            </w:pPr>
            <w:r>
              <w:rPr>
                <w:color w:val="000000"/>
                <w:sz w:val="16"/>
                <w:szCs w:val="16"/>
              </w:rPr>
              <w:t xml:space="preserve">Руководитель/</w:t>
            </w:r>
            <w:r>
              <w:rPr>
                <w:color w:val="000000"/>
                <w:sz w:val="16"/>
                <w:szCs w:val="16"/>
              </w:rPr>
            </w:r>
            <w:r>
              <w:rPr>
                <w:color w:val="000000"/>
                <w:sz w:val="16"/>
                <w:szCs w:val="16"/>
              </w:rPr>
            </w:r>
          </w:p>
          <w:p>
            <w:pPr>
              <w:jc w:val="center"/>
              <w:rPr>
                <w:color w:val="000000"/>
                <w:sz w:val="16"/>
                <w:szCs w:val="16"/>
              </w:rPr>
            </w:pPr>
            <w:r>
              <w:rPr>
                <w:color w:val="000000"/>
                <w:sz w:val="16"/>
                <w:szCs w:val="16"/>
              </w:rPr>
              <w:t xml:space="preserve">участник/</w:t>
            </w:r>
            <w:r>
              <w:rPr>
                <w:color w:val="000000"/>
                <w:sz w:val="16"/>
                <w:szCs w:val="16"/>
              </w:rPr>
            </w:r>
            <w:r>
              <w:rPr>
                <w:color w:val="000000"/>
                <w:sz w:val="16"/>
                <w:szCs w:val="16"/>
              </w:rPr>
            </w:r>
          </w:p>
          <w:p>
            <w:pPr>
              <w:jc w:val="center"/>
              <w:rPr>
                <w:color w:val="000000"/>
                <w:sz w:val="16"/>
                <w:szCs w:val="16"/>
              </w:rPr>
            </w:pPr>
            <w:r>
              <w:rPr>
                <w:color w:val="000000"/>
                <w:sz w:val="16"/>
                <w:szCs w:val="16"/>
              </w:rPr>
              <w:t xml:space="preserve">бенефициар</w:t>
            </w:r>
            <w:r>
              <w:rPr>
                <w:color w:val="000000"/>
                <w:sz w:val="16"/>
                <w:szCs w:val="16"/>
              </w:rPr>
            </w:r>
            <w:r>
              <w:rPr>
                <w:color w:val="000000"/>
                <w:sz w:val="16"/>
                <w:szCs w:val="16"/>
              </w:rPr>
            </w:r>
          </w:p>
        </w:tc>
        <w:tc>
          <w:tcPr>
            <w:shd w:val="clear" w:color="auto" w:fill="bfbfbf"/>
            <w:tcBorders>
              <w:top w:val="single" w:color="auto" w:sz="4" w:space="0"/>
              <w:left w:val="none" w:color="000000" w:sz="4" w:space="0"/>
              <w:bottom w:val="single" w:color="auto" w:sz="4" w:space="0"/>
              <w:right w:val="single" w:color="auto" w:sz="4" w:space="0"/>
            </w:tcBorders>
            <w:tcW w:w="1985" w:type="dxa"/>
            <w:vAlign w:val="center"/>
            <w:textDirection w:val="lrTb"/>
            <w:noWrap w:val="false"/>
          </w:tcPr>
          <w:p>
            <w:pPr>
              <w:jc w:val="center"/>
              <w:rPr>
                <w:color w:val="000000"/>
                <w:sz w:val="16"/>
                <w:szCs w:val="16"/>
              </w:rPr>
            </w:pPr>
            <w:r>
              <w:rPr>
                <w:color w:val="000000"/>
                <w:sz w:val="16"/>
                <w:szCs w:val="16"/>
              </w:rPr>
              <w:t xml:space="preserve">Информация о подтверждающих документах (наименование, номера и т.д.)</w:t>
            </w:r>
            <w:r>
              <w:rPr>
                <w:color w:val="000000"/>
                <w:sz w:val="16"/>
                <w:szCs w:val="16"/>
              </w:rPr>
            </w:r>
            <w:r>
              <w:rPr>
                <w:color w:val="000000"/>
                <w:sz w:val="16"/>
                <w:szCs w:val="16"/>
              </w:rPr>
            </w:r>
          </w:p>
        </w:tc>
      </w:tr>
      <w:tr>
        <w:tblPrEx/>
        <w:trPr>
          <w:trHeight w:val="315"/>
        </w:trPr>
        <w:tc>
          <w:tcPr>
            <w:shd w:val="clear" w:color="auto" w:fill="bfbfbf"/>
            <w:tcBorders>
              <w:top w:val="none" w:color="000000" w:sz="4" w:space="0"/>
              <w:left w:val="single" w:color="auto" w:sz="4" w:space="0"/>
              <w:bottom w:val="single" w:color="auto" w:sz="4" w:space="0"/>
              <w:right w:val="single" w:color="auto" w:sz="4" w:space="0"/>
            </w:tcBorders>
            <w:tcW w:w="534" w:type="dxa"/>
            <w:vAlign w:val="center"/>
            <w:textDirection w:val="lrTb"/>
            <w:noWrap w:val="false"/>
          </w:tcPr>
          <w:p>
            <w:pPr>
              <w:jc w:val="center"/>
              <w:rPr>
                <w:i/>
                <w:color w:val="000000"/>
                <w:sz w:val="16"/>
                <w:szCs w:val="16"/>
              </w:rPr>
            </w:pPr>
            <w:r>
              <w:rPr>
                <w:i/>
                <w:color w:val="000000"/>
                <w:sz w:val="16"/>
                <w:szCs w:val="16"/>
              </w:rPr>
              <w:t xml:space="preserve">1</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rPr>
                <w:i/>
                <w:color w:val="000000"/>
                <w:sz w:val="16"/>
                <w:szCs w:val="16"/>
              </w:rPr>
            </w:pPr>
            <w:r>
              <w:rPr>
                <w:i/>
                <w:color w:val="000000"/>
                <w:sz w:val="16"/>
                <w:szCs w:val="16"/>
              </w:rPr>
              <w:t xml:space="preserve">2</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708" w:type="dxa"/>
            <w:vAlign w:val="center"/>
            <w:textDirection w:val="lrTb"/>
            <w:noWrap w:val="false"/>
          </w:tcPr>
          <w:p>
            <w:pPr>
              <w:jc w:val="center"/>
              <w:rPr>
                <w:i/>
                <w:color w:val="000000"/>
                <w:sz w:val="16"/>
                <w:szCs w:val="16"/>
              </w:rPr>
            </w:pPr>
            <w:r>
              <w:rPr>
                <w:i/>
                <w:color w:val="000000"/>
                <w:sz w:val="16"/>
                <w:szCs w:val="16"/>
              </w:rPr>
              <w:t xml:space="preserve">3</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rPr>
                <w:i/>
                <w:color w:val="000000"/>
                <w:sz w:val="16"/>
                <w:szCs w:val="16"/>
              </w:rPr>
            </w:pPr>
            <w:r>
              <w:rPr>
                <w:i/>
                <w:color w:val="000000"/>
                <w:sz w:val="16"/>
                <w:szCs w:val="16"/>
              </w:rPr>
              <w:t xml:space="preserve">4</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51" w:type="dxa"/>
            <w:vAlign w:val="center"/>
            <w:textDirection w:val="lrTb"/>
            <w:noWrap w:val="false"/>
          </w:tcPr>
          <w:p>
            <w:pPr>
              <w:jc w:val="center"/>
              <w:rPr>
                <w:i/>
                <w:color w:val="000000"/>
                <w:sz w:val="16"/>
                <w:szCs w:val="16"/>
              </w:rPr>
            </w:pPr>
            <w:r>
              <w:rPr>
                <w:i/>
                <w:color w:val="000000"/>
                <w:sz w:val="16"/>
                <w:szCs w:val="16"/>
              </w:rPr>
              <w:t xml:space="preserve">5</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i/>
                <w:color w:val="000000"/>
                <w:sz w:val="16"/>
                <w:szCs w:val="16"/>
              </w:rPr>
            </w:pPr>
            <w:r>
              <w:rPr>
                <w:i/>
                <w:color w:val="000000"/>
                <w:sz w:val="16"/>
                <w:szCs w:val="16"/>
              </w:rPr>
              <w:t xml:space="preserve">6</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560" w:type="dxa"/>
            <w:vAlign w:val="center"/>
            <w:textDirection w:val="lrTb"/>
            <w:noWrap w:val="false"/>
          </w:tcPr>
          <w:p>
            <w:pPr>
              <w:jc w:val="center"/>
              <w:rPr>
                <w:i/>
                <w:color w:val="000000"/>
                <w:sz w:val="16"/>
                <w:szCs w:val="16"/>
              </w:rPr>
            </w:pPr>
            <w:r>
              <w:rPr>
                <w:i/>
                <w:color w:val="000000"/>
                <w:sz w:val="16"/>
                <w:szCs w:val="16"/>
              </w:rPr>
              <w:t xml:space="preserve">7</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425" w:type="dxa"/>
            <w:vAlign w:val="center"/>
            <w:textDirection w:val="lrTb"/>
            <w:noWrap w:val="false"/>
          </w:tcPr>
          <w:p>
            <w:pPr>
              <w:jc w:val="center"/>
              <w:rPr>
                <w:i/>
                <w:color w:val="000000"/>
                <w:sz w:val="16"/>
                <w:szCs w:val="16"/>
              </w:rPr>
            </w:pPr>
            <w:r>
              <w:rPr>
                <w:i/>
                <w:color w:val="000000"/>
                <w:sz w:val="16"/>
                <w:szCs w:val="16"/>
              </w:rPr>
              <w:t xml:space="preserve">8</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567" w:type="dxa"/>
            <w:vAlign w:val="center"/>
            <w:textDirection w:val="lrTb"/>
            <w:noWrap w:val="false"/>
          </w:tcPr>
          <w:p>
            <w:pPr>
              <w:jc w:val="center"/>
              <w:rPr>
                <w:i/>
                <w:color w:val="000000"/>
                <w:sz w:val="16"/>
                <w:szCs w:val="16"/>
              </w:rPr>
            </w:pPr>
            <w:r>
              <w:rPr>
                <w:i/>
                <w:color w:val="000000"/>
                <w:sz w:val="16"/>
                <w:szCs w:val="16"/>
              </w:rPr>
              <w:t xml:space="preserve">9</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709" w:type="dxa"/>
            <w:vAlign w:val="center"/>
            <w:textDirection w:val="lrTb"/>
            <w:noWrap w:val="false"/>
          </w:tcPr>
          <w:p>
            <w:pPr>
              <w:jc w:val="center"/>
              <w:rPr>
                <w:i/>
                <w:color w:val="000000"/>
                <w:sz w:val="16"/>
                <w:szCs w:val="16"/>
              </w:rPr>
            </w:pPr>
            <w:r>
              <w:rPr>
                <w:i/>
                <w:color w:val="000000"/>
                <w:sz w:val="16"/>
                <w:szCs w:val="16"/>
              </w:rPr>
              <w:t xml:space="preserve">10</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275" w:type="dxa"/>
            <w:vAlign w:val="center"/>
            <w:textDirection w:val="lrTb"/>
            <w:noWrap w:val="false"/>
          </w:tcPr>
          <w:p>
            <w:pPr>
              <w:jc w:val="center"/>
              <w:rPr>
                <w:i/>
                <w:color w:val="000000"/>
                <w:sz w:val="16"/>
                <w:szCs w:val="16"/>
              </w:rPr>
            </w:pPr>
            <w:r>
              <w:rPr>
                <w:i/>
                <w:color w:val="000000"/>
                <w:sz w:val="16"/>
                <w:szCs w:val="16"/>
              </w:rPr>
              <w:t xml:space="preserve">11</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rPr>
                <w:i/>
                <w:color w:val="000000"/>
                <w:sz w:val="16"/>
                <w:szCs w:val="16"/>
              </w:rPr>
            </w:pPr>
            <w:r>
              <w:rPr>
                <w:i/>
                <w:color w:val="000000"/>
                <w:sz w:val="16"/>
                <w:szCs w:val="16"/>
              </w:rPr>
              <w:t xml:space="preserve">12</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559" w:type="dxa"/>
            <w:vAlign w:val="center"/>
            <w:textDirection w:val="lrTb"/>
            <w:noWrap w:val="false"/>
          </w:tcPr>
          <w:p>
            <w:pPr>
              <w:jc w:val="center"/>
              <w:rPr>
                <w:i/>
                <w:color w:val="000000"/>
                <w:sz w:val="16"/>
                <w:szCs w:val="16"/>
              </w:rPr>
            </w:pPr>
            <w:r>
              <w:rPr>
                <w:i/>
                <w:color w:val="000000"/>
                <w:sz w:val="16"/>
                <w:szCs w:val="16"/>
              </w:rPr>
              <w:t xml:space="preserve">13</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276" w:type="dxa"/>
            <w:vAlign w:val="center"/>
            <w:textDirection w:val="lrTb"/>
            <w:noWrap w:val="false"/>
          </w:tcPr>
          <w:p>
            <w:pPr>
              <w:jc w:val="center"/>
              <w:rPr>
                <w:i/>
                <w:color w:val="000000"/>
                <w:sz w:val="16"/>
                <w:szCs w:val="16"/>
              </w:rPr>
            </w:pPr>
            <w:r>
              <w:rPr>
                <w:i/>
                <w:color w:val="000000"/>
                <w:sz w:val="16"/>
                <w:szCs w:val="16"/>
              </w:rPr>
              <w:t xml:space="preserve">14</w:t>
            </w:r>
            <w:r>
              <w:rPr>
                <w:i/>
                <w:color w:val="000000"/>
                <w:sz w:val="16"/>
                <w:szCs w:val="16"/>
              </w:rPr>
            </w:r>
            <w:r>
              <w:rPr>
                <w:i/>
                <w:color w:val="000000"/>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985" w:type="dxa"/>
            <w:vAlign w:val="center"/>
            <w:textDirection w:val="lrTb"/>
            <w:noWrap w:val="false"/>
          </w:tcPr>
          <w:p>
            <w:pPr>
              <w:jc w:val="center"/>
              <w:rPr>
                <w:i/>
                <w:color w:val="000000"/>
                <w:sz w:val="16"/>
                <w:szCs w:val="16"/>
              </w:rPr>
            </w:pPr>
            <w:r>
              <w:rPr>
                <w:i/>
                <w:color w:val="000000"/>
                <w:sz w:val="16"/>
                <w:szCs w:val="16"/>
              </w:rPr>
              <w:t xml:space="preserve">15</w:t>
            </w:r>
            <w:r>
              <w:rPr>
                <w:i/>
                <w:color w:val="000000"/>
                <w:sz w:val="16"/>
                <w:szCs w:val="16"/>
              </w:rPr>
            </w:r>
            <w:r>
              <w:rPr>
                <w:i/>
                <w:color w:val="000000"/>
                <w:sz w:val="16"/>
                <w:szCs w:val="16"/>
              </w:rPr>
            </w:r>
          </w:p>
        </w:tc>
      </w:tr>
      <w:tr>
        <w:tblPrEx/>
        <w:trPr>
          <w:trHeight w:val="315"/>
        </w:trPr>
        <w:tc>
          <w:tcPr>
            <w:tcBorders>
              <w:top w:val="none" w:color="000000" w:sz="4" w:space="0"/>
              <w:left w:val="single" w:color="auto" w:sz="4" w:space="0"/>
              <w:bottom w:val="single" w:color="auto" w:sz="4" w:space="0"/>
              <w:right w:val="single" w:color="auto" w:sz="4" w:space="0"/>
            </w:tcBorders>
            <w:tcW w:w="534"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708"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276"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851"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560"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425"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567"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709"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275"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276"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559"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276"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c>
          <w:tcPr>
            <w:tcBorders>
              <w:top w:val="none" w:color="000000" w:sz="4" w:space="0"/>
              <w:left w:val="none" w:color="000000" w:sz="4" w:space="0"/>
              <w:bottom w:val="single" w:color="auto" w:sz="4" w:space="0"/>
              <w:right w:val="single" w:color="auto" w:sz="4" w:space="0"/>
            </w:tcBorders>
            <w:tcW w:w="1985" w:type="dxa"/>
            <w:vAlign w:val="bottom"/>
            <w:textDirection w:val="lrTb"/>
            <w:noWrap/>
          </w:tcPr>
          <w:p>
            <w:pPr>
              <w:rPr>
                <w:color w:val="000000"/>
                <w:sz w:val="16"/>
                <w:szCs w:val="16"/>
              </w:rPr>
            </w:pPr>
            <w:r>
              <w:rPr>
                <w:color w:val="000000"/>
                <w:sz w:val="16"/>
                <w:szCs w:val="16"/>
              </w:rPr>
              <w:t xml:space="preserve"> </w:t>
            </w:r>
            <w:r>
              <w:rPr>
                <w:color w:val="000000"/>
                <w:sz w:val="16"/>
                <w:szCs w:val="16"/>
              </w:rPr>
            </w:r>
            <w:r>
              <w:rPr>
                <w:color w:val="000000"/>
                <w:sz w:val="16"/>
                <w:szCs w:val="16"/>
              </w:rPr>
            </w:r>
          </w:p>
        </w:tc>
      </w:tr>
    </w:tbl>
    <w:p>
      <w:pPr>
        <w:ind w:left="1080" w:right="-31"/>
        <w:jc w:val="both"/>
        <w:tabs>
          <w:tab w:val="center" w:pos="4677" w:leader="none"/>
          <w:tab w:val="right" w:pos="9355" w:leader="none"/>
        </w:tabs>
        <w:rPr>
          <w:sz w:val="16"/>
          <w:szCs w:val="16"/>
          <w:lang w:eastAsia="en-US"/>
        </w:rPr>
      </w:pPr>
      <w:r>
        <w:rPr>
          <w:sz w:val="16"/>
          <w:szCs w:val="16"/>
          <w:lang w:eastAsia="en-US"/>
        </w:rPr>
        <w:t xml:space="preserve"> </w:t>
      </w:r>
      <w:r>
        <w:rPr>
          <w:sz w:val="16"/>
          <w:szCs w:val="16"/>
          <w:lang w:eastAsia="en-US"/>
        </w:rPr>
      </w:r>
      <w:r>
        <w:rPr>
          <w:sz w:val="16"/>
          <w:szCs w:val="16"/>
          <w:lang w:eastAsia="en-US"/>
        </w:rPr>
      </w:r>
    </w:p>
    <w:p>
      <w:pPr>
        <w:numPr>
          <w:ilvl w:val="1"/>
          <w:numId w:val="3"/>
        </w:numPr>
        <w:ind w:left="-142" w:right="-31" w:firstLine="0"/>
        <w:jc w:val="both"/>
        <w:tabs>
          <w:tab w:val="num" w:pos="0" w:leader="none"/>
          <w:tab w:val="clear" w:pos="1440" w:leader="none"/>
          <w:tab w:val="center" w:pos="4677" w:leader="none"/>
          <w:tab w:val="right" w:pos="9355" w:leader="none"/>
        </w:tabs>
        <w:rPr>
          <w:sz w:val="16"/>
          <w:szCs w:val="16"/>
          <w:lang w:eastAsia="en-US"/>
        </w:rPr>
      </w:pPr>
      <w:r>
        <w:rPr>
          <w:sz w:val="16"/>
          <w:szCs w:val="16"/>
          <w:lang w:eastAsia="en-US"/>
        </w:rPr>
        <w:t xml:space="preserve">Контрагент (указать: Исполнитель/Подрядчик/ иное наименование контрагента) гарантирует Обществу (указать: Заказчику/иное наиме</w:t>
      </w:r>
      <w:r>
        <w:rPr>
          <w:sz w:val="16"/>
          <w:szCs w:val="16"/>
          <w:lang w:eastAsia="en-US"/>
        </w:rPr>
        <w:t xml:space="preserve">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r>
        <w:rPr>
          <w:sz w:val="16"/>
          <w:szCs w:val="16"/>
          <w:lang w:eastAsia="en-US"/>
        </w:rPr>
      </w:r>
      <w:r>
        <w:rPr>
          <w:sz w:val="16"/>
          <w:szCs w:val="16"/>
          <w:lang w:eastAsia="en-US"/>
        </w:rPr>
      </w:r>
    </w:p>
    <w:p>
      <w:pPr>
        <w:numPr>
          <w:ilvl w:val="1"/>
          <w:numId w:val="3"/>
        </w:numPr>
        <w:ind w:left="-142" w:right="-31" w:firstLine="0"/>
        <w:jc w:val="both"/>
        <w:tabs>
          <w:tab w:val="num" w:pos="0" w:leader="none"/>
          <w:tab w:val="clear" w:pos="1440" w:leader="none"/>
          <w:tab w:val="center" w:pos="4677" w:leader="none"/>
          <w:tab w:val="right" w:pos="9355" w:leader="none"/>
        </w:tabs>
        <w:rPr>
          <w:sz w:val="16"/>
          <w:szCs w:val="16"/>
          <w:lang w:eastAsia="en-US"/>
        </w:rPr>
      </w:pPr>
      <w:r>
        <w:rPr>
          <w:sz w:val="16"/>
          <w:szCs w:val="16"/>
          <w:lang w:eastAsia="en-US"/>
        </w:rPr>
        <w:t xml:space="preserve"> 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w:t>
      </w:r>
      <w:r>
        <w:rPr>
          <w:sz w:val="16"/>
          <w:szCs w:val="16"/>
          <w:lang w:eastAsia="en-US"/>
        </w:rPr>
        <w:t xml:space="preserve">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w:t>
      </w:r>
      <w:r>
        <w:rPr>
          <w:sz w:val="16"/>
          <w:szCs w:val="16"/>
          <w:lang w:eastAsia="en-US"/>
        </w:rPr>
        <w:t xml:space="preserve">осударственной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 и его дочерним обществам (при необходимости), и последующую обработку сведений такими органами</w:t>
      </w:r>
      <w:r>
        <w:rPr>
          <w:sz w:val="16"/>
          <w:szCs w:val="16"/>
          <w:lang w:eastAsia="en-US"/>
        </w:rPr>
        <w:t xml:space="preserve">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w:t>
      </w:r>
      <w:r>
        <w:rPr>
          <w:sz w:val="16"/>
          <w:szCs w:val="16"/>
          <w:lang w:eastAsia="en-US"/>
        </w:rPr>
        <w:t xml:space="preserve">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r>
        <w:rPr>
          <w:sz w:val="16"/>
          <w:szCs w:val="16"/>
          <w:lang w:eastAsia="en-US"/>
        </w:rPr>
      </w:r>
      <w:r>
        <w:rPr>
          <w:sz w:val="16"/>
          <w:szCs w:val="16"/>
          <w:lang w:eastAsia="en-US"/>
        </w:rPr>
      </w:r>
    </w:p>
    <w:tbl>
      <w:tblPr>
        <w:tblpPr w:horzAnchor="margin" w:tblpXSpec="left" w:vertAnchor="text" w:tblpY="86" w:leftFromText="180" w:topFromText="0" w:rightFromText="180" w:bottomFromText="0"/>
        <w:tblW w:w="15310" w:type="dxa"/>
        <w:tblLayout w:type="fixed"/>
        <w:tblLook w:val="00A0" w:firstRow="1" w:lastRow="0" w:firstColumn="1" w:lastColumn="0" w:noHBand="0" w:noVBand="0"/>
      </w:tblPr>
      <w:tblGrid>
        <w:gridCol w:w="15310"/>
      </w:tblGrid>
      <w:tr>
        <w:tblPrEx/>
        <w:trPr/>
        <w:tc>
          <w:tcPr>
            <w:tcW w:w="4644" w:type="dxa"/>
            <w:textDirection w:val="lrTb"/>
            <w:noWrap w:val="false"/>
          </w:tcPr>
          <w:p>
            <w:pPr>
              <w:widowControl w:val="off"/>
              <w:rPr>
                <w:sz w:val="26"/>
                <w:szCs w:val="26"/>
              </w:rPr>
            </w:pPr>
            <w:r>
              <w:rPr>
                <w:sz w:val="26"/>
                <w:szCs w:val="26"/>
              </w:rPr>
              <w:t xml:space="preserve">__________________________________</w:t>
            </w:r>
            <w:r>
              <w:rPr>
                <w:sz w:val="26"/>
                <w:szCs w:val="26"/>
              </w:rPr>
            </w:r>
            <w:r>
              <w:rPr>
                <w:sz w:val="26"/>
                <w:szCs w:val="26"/>
              </w:rPr>
            </w:r>
          </w:p>
          <w:p>
            <w:pPr>
              <w:tabs>
                <w:tab w:val="left" w:pos="34" w:leader="none"/>
              </w:tabs>
              <w:rPr>
                <w:sz w:val="26"/>
                <w:szCs w:val="26"/>
                <w:vertAlign w:val="superscript"/>
              </w:rPr>
            </w:pPr>
            <w:r>
              <w:rPr>
                <w:sz w:val="26"/>
                <w:szCs w:val="26"/>
                <w:vertAlign w:val="superscript"/>
              </w:rPr>
              <w:t xml:space="preserve">(подпись, М.П.)</w:t>
            </w:r>
            <w:r>
              <w:rPr>
                <w:sz w:val="26"/>
                <w:szCs w:val="26"/>
                <w:vertAlign w:val="superscript"/>
              </w:rPr>
            </w:r>
            <w:r>
              <w:rPr>
                <w:sz w:val="26"/>
                <w:szCs w:val="26"/>
                <w:vertAlign w:val="superscript"/>
              </w:rPr>
            </w:r>
          </w:p>
        </w:tc>
      </w:tr>
      <w:tr>
        <w:tblPrEx/>
        <w:trPr/>
        <w:tc>
          <w:tcPr>
            <w:tcW w:w="4644" w:type="dxa"/>
            <w:textDirection w:val="lrTb"/>
            <w:noWrap w:val="false"/>
          </w:tcPr>
          <w:p>
            <w:pPr>
              <w:rPr>
                <w:sz w:val="26"/>
                <w:szCs w:val="26"/>
              </w:rPr>
            </w:pPr>
            <w:r>
              <w:rPr>
                <w:sz w:val="26"/>
                <w:szCs w:val="26"/>
              </w:rPr>
              <w:t xml:space="preserve">_________________________________</w:t>
            </w:r>
            <w:r>
              <w:rPr>
                <w:sz w:val="26"/>
                <w:szCs w:val="26"/>
              </w:rPr>
            </w:r>
            <w:r>
              <w:rPr>
                <w:sz w:val="26"/>
                <w:szCs w:val="26"/>
              </w:rPr>
            </w:r>
          </w:p>
          <w:p>
            <w:pPr>
              <w:tabs>
                <w:tab w:val="left" w:pos="4428" w:leader="none"/>
              </w:tabs>
              <w:rPr>
                <w:sz w:val="26"/>
                <w:szCs w:val="26"/>
                <w:vertAlign w:val="superscript"/>
              </w:rPr>
            </w:pPr>
            <w:r>
              <w:rPr>
                <w:sz w:val="26"/>
                <w:szCs w:val="26"/>
                <w:vertAlign w:val="superscript"/>
              </w:rPr>
              <w:t xml:space="preserve">(фамилия, имя, отчество подписавшего, должность)</w:t>
            </w:r>
            <w:r>
              <w:rPr>
                <w:sz w:val="26"/>
                <w:szCs w:val="26"/>
                <w:vertAlign w:val="superscript"/>
              </w:rPr>
            </w:r>
            <w:r>
              <w:rPr>
                <w:sz w:val="26"/>
                <w:szCs w:val="26"/>
                <w:vertAlign w:val="superscript"/>
              </w:rPr>
            </w:r>
          </w:p>
        </w:tc>
      </w:tr>
    </w:tbl>
    <w:p>
      <w:pPr>
        <w:pStyle w:val="1016"/>
        <w:ind w:left="0"/>
        <w:jc w:val="center"/>
        <w:spacing w:after="100"/>
        <w:rPr>
          <w:b/>
        </w:rPr>
      </w:pPr>
      <w:r>
        <w:rPr>
          <w:b/>
        </w:rPr>
        <w:t xml:space="preserve">Форму утверждаем:</w:t>
      </w:r>
      <w:r>
        <w:rPr>
          <w:b/>
        </w:rPr>
      </w:r>
      <w:r>
        <w:rPr>
          <w:b/>
        </w:rPr>
      </w:r>
    </w:p>
    <w:tbl>
      <w:tblPr>
        <w:tblW w:w="0" w:type="auto"/>
        <w:jc w:val="center"/>
        <w:tblLayout w:type="fixed"/>
        <w:tblLook w:val="01E0" w:firstRow="1" w:lastRow="1" w:firstColumn="1" w:lastColumn="1" w:noHBand="0" w:noVBand="0"/>
      </w:tblPr>
      <w:tblGrid>
        <w:gridCol w:w="4942"/>
        <w:gridCol w:w="4432"/>
      </w:tblGrid>
      <w:tr>
        <w:tblPrEx/>
        <w:trPr>
          <w:jc w:val="center"/>
          <w:trHeight w:val="1125"/>
        </w:trPr>
        <w:tc>
          <w:tcPr>
            <w:tcW w:w="4942" w:type="dxa"/>
            <w:textDirection w:val="lrTb"/>
            <w:noWrap w:val="false"/>
          </w:tcPr>
          <w:p>
            <w:pPr>
              <w:ind w:right="-1"/>
              <w:jc w:val="right"/>
              <w:rPr>
                <w:b/>
                <w:bCs/>
                <w:sz w:val="22"/>
                <w:szCs w:val="22"/>
              </w:rPr>
            </w:pPr>
            <w:r>
              <w:rPr>
                <w:b/>
                <w:bCs/>
                <w:sz w:val="22"/>
                <w:szCs w:val="22"/>
              </w:rPr>
              <w:t xml:space="preserve">От Покупателя:</w:t>
            </w:r>
            <w:r>
              <w:rPr>
                <w:b/>
                <w:bCs/>
                <w:sz w:val="22"/>
                <w:szCs w:val="22"/>
              </w:rPr>
            </w:r>
            <w:r>
              <w:rPr>
                <w:b/>
                <w:bCs/>
                <w:sz w:val="22"/>
                <w:szCs w:val="22"/>
              </w:rPr>
            </w:r>
          </w:p>
        </w:tc>
        <w:tc>
          <w:tcPr>
            <w:tcW w:w="4432" w:type="dxa"/>
            <w:textDirection w:val="lrTb"/>
            <w:noWrap w:val="false"/>
          </w:tcPr>
          <w:p>
            <w:pPr>
              <w:ind w:right="-1"/>
              <w:jc w:val="right"/>
              <w:rPr>
                <w:b/>
                <w:bCs/>
              </w:rPr>
            </w:pPr>
            <w:r>
              <w:rPr>
                <w:b/>
                <w:bCs/>
              </w:rPr>
              <w:t xml:space="preserve">От Поставщика:</w:t>
            </w:r>
            <w:r>
              <w:rPr>
                <w:b/>
                <w:bCs/>
              </w:rPr>
            </w:r>
            <w:r>
              <w:rPr>
                <w:b/>
                <w:bCs/>
              </w:rPr>
            </w:r>
          </w:p>
        </w:tc>
      </w:tr>
    </w:tbl>
    <w:p>
      <w:pPr>
        <w:sectPr>
          <w:footnotePr/>
          <w:endnotePr/>
          <w:type w:val="nextPage"/>
          <w:pgSz w:w="16838" w:h="11906" w:orient="landscape"/>
          <w:pgMar w:top="425" w:right="1021" w:bottom="1134" w:left="544" w:header="181" w:footer="709" w:gutter="0"/>
          <w:cols w:num="1" w:sep="0" w:space="708" w:equalWidth="1"/>
          <w:docGrid w:linePitch="360"/>
        </w:sectPr>
      </w:pPr>
      <w:r/>
      <w:r/>
    </w:p>
    <w:p>
      <w:pPr>
        <w:ind w:right="-1"/>
        <w:jc w:val="right"/>
        <w:rPr>
          <w:bCs/>
        </w:rPr>
      </w:pPr>
      <w:r>
        <w:rPr>
          <w:bCs/>
        </w:rPr>
        <w:t xml:space="preserve">                                                                                                                          Приложение №2</w:t>
      </w:r>
      <w:r>
        <w:rPr>
          <w:bCs/>
        </w:rPr>
      </w:r>
      <w:r>
        <w:rPr>
          <w:bCs/>
        </w:rPr>
      </w:r>
    </w:p>
    <w:p>
      <w:pPr>
        <w:jc w:val="right"/>
        <w:rPr>
          <w:bCs/>
        </w:rPr>
      </w:pPr>
      <w:r>
        <w:rPr>
          <w:bCs/>
        </w:rPr>
        <w:t xml:space="preserve">к Договору поставки №</w:t>
      </w:r>
      <w:r>
        <w:rPr>
          <w:bCs/>
        </w:rPr>
        <w:t xml:space="preserve">               </w:t>
      </w:r>
      <w:r>
        <w:rPr>
          <w:bCs/>
        </w:rPr>
      </w:r>
      <w:r>
        <w:rPr>
          <w:bCs/>
        </w:rPr>
      </w:r>
    </w:p>
    <w:p>
      <w:pPr>
        <w:jc w:val="right"/>
      </w:pPr>
      <w:r>
        <w:rPr>
          <w:bCs/>
        </w:rPr>
        <w:t xml:space="preserve">«  »                       202   г.</w:t>
      </w:r>
      <w:r/>
    </w:p>
    <w:p>
      <w:pPr>
        <w:jc w:val="both"/>
        <w:rPr>
          <w:b/>
          <w:caps/>
        </w:rPr>
      </w:pPr>
      <w:r>
        <w:rPr>
          <w:b/>
          <w:caps/>
        </w:rPr>
      </w:r>
      <w:r>
        <w:rPr>
          <w:b/>
          <w:caps/>
        </w:rPr>
      </w:r>
      <w:r>
        <w:rPr>
          <w:b/>
          <w:caps/>
        </w:rPr>
      </w:r>
    </w:p>
    <w:p>
      <w:pPr>
        <w:jc w:val="center"/>
        <w:rPr>
          <w:b/>
        </w:rPr>
      </w:pPr>
      <w:r>
        <w:rPr>
          <w:b/>
        </w:rPr>
        <w:t xml:space="preserve">СПЕЦИФИКАЦИЯ</w:t>
      </w:r>
      <w:r>
        <w:rPr>
          <w:b/>
        </w:rPr>
      </w:r>
      <w:r>
        <w:rPr>
          <w:b/>
        </w:rPr>
      </w:r>
    </w:p>
    <w:p>
      <w:pPr>
        <w:jc w:val="center"/>
        <w:rPr>
          <w:b/>
        </w:rPr>
      </w:pPr>
      <w:r>
        <w:rPr>
          <w:b/>
        </w:rPr>
        <w:t xml:space="preserve">к договору поставки №__________________ от ___________ 202    г.</w:t>
      </w:r>
      <w:r>
        <w:rPr>
          <w:b/>
        </w:rPr>
      </w:r>
      <w:r>
        <w:rPr>
          <w:b/>
        </w:rPr>
      </w:r>
    </w:p>
    <w:p>
      <w:r/>
      <w:r/>
    </w:p>
    <w:p>
      <w:pPr>
        <w:jc w:val="right"/>
        <w:rPr>
          <w:bCs/>
        </w:rPr>
      </w:pPr>
      <w:r>
        <w:rPr>
          <w:bCs/>
        </w:rPr>
        <w:t xml:space="preserve">______________ 202    г.</w:t>
      </w:r>
      <w:r>
        <w:rPr>
          <w:bCs/>
        </w:rPr>
      </w:r>
      <w:r>
        <w:rPr>
          <w:bCs/>
        </w:rPr>
      </w:r>
    </w:p>
    <w:p>
      <w:pPr>
        <w:jc w:val="center"/>
        <w:rPr>
          <w:bCs/>
        </w:rPr>
      </w:pPr>
      <w:r>
        <w:rPr>
          <w:bCs/>
        </w:rPr>
      </w:r>
      <w:r>
        <w:rPr>
          <w:bCs/>
        </w:rPr>
      </w:r>
      <w:r>
        <w:rPr>
          <w:bCs/>
        </w:rPr>
      </w:r>
    </w:p>
    <w:tbl>
      <w:tblPr>
        <w:tblW w:w="10250" w:type="dxa"/>
        <w:jc w:val="center"/>
        <w:tblLook w:val="04A0" w:firstRow="1" w:lastRow="0" w:firstColumn="1" w:lastColumn="0" w:noHBand="0" w:noVBand="1"/>
      </w:tblPr>
      <w:tblGrid>
        <w:gridCol w:w="503"/>
        <w:gridCol w:w="3887"/>
        <w:gridCol w:w="811"/>
        <w:gridCol w:w="1246"/>
        <w:gridCol w:w="1312"/>
        <w:gridCol w:w="1225"/>
        <w:gridCol w:w="1266"/>
      </w:tblGrid>
      <w:tr>
        <w:tblPrEx/>
        <w:trPr>
          <w:jc w:val="center"/>
          <w:trHeight w:val="510"/>
        </w:trPr>
        <w:tc>
          <w:tcPr>
            <w:shd w:val="clear" w:color="000000" w:fill="ffffff"/>
            <w:tcBorders>
              <w:top w:val="single" w:color="000000" w:sz="4" w:space="0"/>
              <w:left w:val="single" w:color="000000" w:sz="4" w:space="0"/>
              <w:bottom w:val="single" w:color="000000" w:sz="4" w:space="0"/>
              <w:right w:val="single" w:color="000000" w:sz="4" w:space="0"/>
            </w:tcBorders>
            <w:tcW w:w="503" w:type="dxa"/>
            <w:textDirection w:val="lrTb"/>
            <w:noWrap w:val="false"/>
          </w:tcPr>
          <w:p>
            <w:pPr>
              <w:rPr>
                <w:b/>
                <w:bCs/>
                <w:color w:val="000000"/>
                <w:sz w:val="20"/>
                <w:szCs w:val="20"/>
              </w:rPr>
            </w:pPr>
            <w:r>
              <w:rPr>
                <w:b/>
                <w:bCs/>
                <w:color w:val="000000"/>
                <w:sz w:val="20"/>
                <w:szCs w:val="20"/>
              </w:rPr>
              <w:t xml:space="preserve">№ п/п</w:t>
            </w:r>
            <w:r>
              <w:rPr>
                <w:b/>
                <w:bCs/>
                <w:color w:val="000000"/>
                <w:sz w:val="20"/>
                <w:szCs w:val="20"/>
              </w:rPr>
            </w:r>
            <w:r>
              <w:rPr>
                <w:b/>
                <w:bCs/>
                <w:color w:val="000000"/>
                <w:sz w:val="20"/>
                <w:szCs w:val="20"/>
              </w:rPr>
            </w:r>
          </w:p>
        </w:tc>
        <w:tc>
          <w:tcPr>
            <w:shd w:val="clear" w:color="000000" w:fill="ffffff"/>
            <w:tcBorders>
              <w:top w:val="single" w:color="000000" w:sz="4" w:space="0"/>
              <w:left w:val="single" w:color="000000" w:sz="4" w:space="0"/>
              <w:bottom w:val="single" w:color="000000" w:sz="4" w:space="0"/>
              <w:right w:val="single" w:color="000000" w:sz="4" w:space="0"/>
            </w:tcBorders>
            <w:tcW w:w="3887" w:type="dxa"/>
            <w:textDirection w:val="lrTb"/>
            <w:noWrap w:val="false"/>
          </w:tcPr>
          <w:p>
            <w:pPr>
              <w:jc w:val="center"/>
              <w:rPr>
                <w:b/>
                <w:bCs/>
                <w:color w:val="000000"/>
                <w:sz w:val="20"/>
                <w:szCs w:val="20"/>
              </w:rPr>
            </w:pPr>
            <w:r>
              <w:rPr>
                <w:b/>
                <w:bCs/>
                <w:color w:val="000000"/>
                <w:sz w:val="20"/>
                <w:szCs w:val="20"/>
              </w:rPr>
              <w:t xml:space="preserve">Наименование Товара</w:t>
            </w:r>
            <w:r>
              <w:rPr>
                <w:b/>
                <w:bCs/>
                <w:color w:val="000000"/>
                <w:sz w:val="20"/>
                <w:szCs w:val="20"/>
              </w:rPr>
            </w:r>
            <w:r>
              <w:rPr>
                <w:b/>
                <w:bCs/>
                <w:color w:val="000000"/>
                <w:sz w:val="20"/>
                <w:szCs w:val="20"/>
              </w:rPr>
            </w:r>
          </w:p>
        </w:tc>
        <w:tc>
          <w:tcPr>
            <w:shd w:val="clear" w:color="000000" w:fill="ffffff"/>
            <w:tcBorders>
              <w:top w:val="single" w:color="000000" w:sz="4" w:space="0"/>
              <w:left w:val="none" w:color="000000" w:sz="4" w:space="0"/>
              <w:bottom w:val="single" w:color="000000" w:sz="4" w:space="0"/>
              <w:right w:val="single" w:color="000000" w:sz="4" w:space="0"/>
            </w:tcBorders>
            <w:tcW w:w="811" w:type="dxa"/>
            <w:textDirection w:val="lrTb"/>
            <w:noWrap w:val="false"/>
          </w:tcPr>
          <w:p>
            <w:pPr>
              <w:jc w:val="center"/>
              <w:rPr>
                <w:b/>
                <w:bCs/>
                <w:color w:val="000000"/>
                <w:sz w:val="20"/>
                <w:szCs w:val="20"/>
              </w:rPr>
            </w:pPr>
            <w:r>
              <w:rPr>
                <w:b/>
                <w:bCs/>
                <w:color w:val="000000"/>
                <w:sz w:val="20"/>
                <w:szCs w:val="20"/>
              </w:rPr>
              <w:t xml:space="preserve">Кол-во,</w:t>
            </w:r>
            <w:r>
              <w:rPr>
                <w:b/>
                <w:bCs/>
                <w:color w:val="000000"/>
                <w:sz w:val="20"/>
                <w:szCs w:val="20"/>
              </w:rPr>
              <w:br/>
              <w:t xml:space="preserve">шт.</w:t>
            </w:r>
            <w:r>
              <w:rPr>
                <w:b/>
                <w:bCs/>
                <w:color w:val="000000"/>
                <w:sz w:val="20"/>
                <w:szCs w:val="20"/>
              </w:rPr>
            </w:r>
            <w:r>
              <w:rPr>
                <w:b/>
                <w:bCs/>
                <w:color w:val="000000"/>
                <w:sz w:val="20"/>
                <w:szCs w:val="20"/>
              </w:rPr>
            </w:r>
          </w:p>
        </w:tc>
        <w:tc>
          <w:tcPr>
            <w:shd w:val="clear" w:color="000000" w:fill="ffffff"/>
            <w:tcBorders>
              <w:top w:val="single" w:color="000000" w:sz="4" w:space="0"/>
              <w:left w:val="none" w:color="000000" w:sz="4" w:space="0"/>
              <w:bottom w:val="single" w:color="000000" w:sz="4" w:space="0"/>
              <w:right w:val="single" w:color="000000" w:sz="4" w:space="0"/>
            </w:tcBorders>
            <w:tcW w:w="1246" w:type="dxa"/>
            <w:textDirection w:val="lrTb"/>
            <w:noWrap w:val="false"/>
          </w:tcPr>
          <w:p>
            <w:pPr>
              <w:jc w:val="center"/>
              <w:rPr>
                <w:b/>
                <w:bCs/>
                <w:color w:val="000000"/>
                <w:sz w:val="20"/>
                <w:szCs w:val="20"/>
              </w:rPr>
            </w:pPr>
            <w:r>
              <w:rPr>
                <w:b/>
                <w:bCs/>
                <w:color w:val="000000"/>
                <w:sz w:val="20"/>
                <w:szCs w:val="20"/>
              </w:rPr>
              <w:t xml:space="preserve">Цена, </w:t>
            </w:r>
            <w:r>
              <w:rPr>
                <w:b/>
                <w:bCs/>
                <w:color w:val="000000"/>
                <w:sz w:val="20"/>
                <w:szCs w:val="20"/>
              </w:rPr>
              <w:br/>
              <w:t xml:space="preserve">Руб. без НДС</w:t>
            </w:r>
            <w:r>
              <w:rPr>
                <w:b/>
                <w:bCs/>
                <w:color w:val="000000"/>
                <w:sz w:val="20"/>
                <w:szCs w:val="20"/>
              </w:rPr>
            </w:r>
            <w:r>
              <w:rPr>
                <w:b/>
                <w:bCs/>
                <w:color w:val="000000"/>
                <w:sz w:val="20"/>
                <w:szCs w:val="20"/>
              </w:rPr>
            </w:r>
          </w:p>
        </w:tc>
        <w:tc>
          <w:tcPr>
            <w:shd w:val="clear" w:color="000000" w:fill="ffffff"/>
            <w:tcBorders>
              <w:top w:val="single" w:color="000000" w:sz="4" w:space="0"/>
              <w:left w:val="none" w:color="000000" w:sz="4" w:space="0"/>
              <w:bottom w:val="single" w:color="000000" w:sz="4" w:space="0"/>
              <w:right w:val="single" w:color="000000" w:sz="4" w:space="0"/>
            </w:tcBorders>
            <w:tcW w:w="1312" w:type="dxa"/>
            <w:textDirection w:val="lrTb"/>
            <w:noWrap w:val="false"/>
          </w:tcPr>
          <w:p>
            <w:pPr>
              <w:jc w:val="center"/>
              <w:rPr>
                <w:b/>
                <w:bCs/>
                <w:color w:val="000000"/>
                <w:sz w:val="20"/>
                <w:szCs w:val="20"/>
              </w:rPr>
            </w:pPr>
            <w:r>
              <w:rPr>
                <w:b/>
                <w:bCs/>
                <w:color w:val="000000"/>
                <w:sz w:val="20"/>
                <w:szCs w:val="20"/>
              </w:rPr>
              <w:t xml:space="preserve">Сумма,</w:t>
            </w:r>
            <w:r>
              <w:rPr>
                <w:b/>
                <w:bCs/>
                <w:color w:val="000000"/>
                <w:sz w:val="20"/>
                <w:szCs w:val="20"/>
              </w:rPr>
              <w:br/>
              <w:t xml:space="preserve">Руб. без НДС</w:t>
            </w:r>
            <w:r>
              <w:rPr>
                <w:b/>
                <w:bCs/>
                <w:color w:val="000000"/>
                <w:sz w:val="20"/>
                <w:szCs w:val="20"/>
              </w:rPr>
            </w:r>
            <w:r>
              <w:rPr>
                <w:b/>
                <w:bCs/>
                <w:color w:val="000000"/>
                <w:sz w:val="20"/>
                <w:szCs w:val="20"/>
              </w:rPr>
            </w:r>
          </w:p>
        </w:tc>
        <w:tc>
          <w:tcPr>
            <w:shd w:val="clear" w:color="000000" w:fill="ffffff"/>
            <w:tcBorders>
              <w:top w:val="single" w:color="000000" w:sz="4" w:space="0"/>
              <w:left w:val="none" w:color="000000" w:sz="4" w:space="0"/>
              <w:bottom w:val="single" w:color="000000" w:sz="4" w:space="0"/>
              <w:right w:val="single" w:color="000000" w:sz="4" w:space="0"/>
            </w:tcBorders>
            <w:tcW w:w="1225" w:type="dxa"/>
            <w:textDirection w:val="lrTb"/>
            <w:noWrap w:val="false"/>
          </w:tcPr>
          <w:p>
            <w:pPr>
              <w:jc w:val="center"/>
              <w:rPr>
                <w:b/>
                <w:bCs/>
                <w:color w:val="000000"/>
                <w:sz w:val="20"/>
                <w:szCs w:val="20"/>
              </w:rPr>
            </w:pPr>
            <w:r>
              <w:rPr>
                <w:b/>
                <w:bCs/>
                <w:color w:val="000000"/>
                <w:sz w:val="20"/>
                <w:szCs w:val="20"/>
              </w:rPr>
              <w:t xml:space="preserve">Сумма НДС, Руб.</w:t>
            </w:r>
            <w:r>
              <w:rPr>
                <w:b/>
                <w:bCs/>
                <w:color w:val="000000"/>
                <w:sz w:val="20"/>
                <w:szCs w:val="20"/>
              </w:rPr>
            </w:r>
            <w:r>
              <w:rPr>
                <w:b/>
                <w:bCs/>
                <w:color w:val="000000"/>
                <w:sz w:val="20"/>
                <w:szCs w:val="20"/>
              </w:rPr>
            </w:r>
          </w:p>
        </w:tc>
        <w:tc>
          <w:tcPr>
            <w:shd w:val="clear" w:color="000000" w:fill="ffffff"/>
            <w:tcBorders>
              <w:top w:val="single" w:color="000000" w:sz="4" w:space="0"/>
              <w:left w:val="none" w:color="000000" w:sz="4" w:space="0"/>
              <w:bottom w:val="single" w:color="000000" w:sz="4" w:space="0"/>
              <w:right w:val="single" w:color="000000" w:sz="4" w:space="0"/>
            </w:tcBorders>
            <w:tcW w:w="1266" w:type="dxa"/>
            <w:textDirection w:val="lrTb"/>
            <w:noWrap w:val="false"/>
          </w:tcPr>
          <w:p>
            <w:pPr>
              <w:jc w:val="center"/>
              <w:rPr>
                <w:b/>
                <w:bCs/>
                <w:color w:val="000000"/>
                <w:sz w:val="20"/>
                <w:szCs w:val="20"/>
              </w:rPr>
            </w:pPr>
            <w:r>
              <w:rPr>
                <w:b/>
                <w:bCs/>
                <w:color w:val="000000"/>
                <w:sz w:val="20"/>
                <w:szCs w:val="20"/>
              </w:rPr>
              <w:t xml:space="preserve">Всего с НДС,</w:t>
            </w:r>
            <w:r>
              <w:rPr>
                <w:b/>
                <w:bCs/>
                <w:color w:val="000000"/>
                <w:sz w:val="20"/>
                <w:szCs w:val="20"/>
              </w:rPr>
              <w:br/>
              <w:t xml:space="preserve">Руб.</w:t>
            </w:r>
            <w:r>
              <w:rPr>
                <w:b/>
                <w:bCs/>
                <w:color w:val="000000"/>
                <w:sz w:val="20"/>
                <w:szCs w:val="20"/>
              </w:rPr>
            </w:r>
            <w:r>
              <w:rPr>
                <w:b/>
                <w:bCs/>
                <w:color w:val="000000"/>
                <w:sz w:val="20"/>
                <w:szCs w:val="20"/>
              </w:rPr>
            </w:r>
          </w:p>
        </w:tc>
      </w:tr>
      <w:tr>
        <w:tblPrEx/>
        <w:trPr>
          <w:jc w:val="center"/>
          <w:trHeight w:val="255"/>
        </w:trPr>
        <w:tc>
          <w:tcPr>
            <w:shd w:val="clear" w:color="000000" w:fill="ffffff"/>
            <w:tcBorders>
              <w:top w:val="single" w:color="000000" w:sz="4" w:space="0"/>
              <w:left w:val="single" w:color="000000" w:sz="4" w:space="0"/>
              <w:bottom w:val="single" w:color="000000" w:sz="4" w:space="0"/>
              <w:right w:val="single" w:color="000000" w:sz="4" w:space="0"/>
            </w:tcBorders>
            <w:tcW w:w="503" w:type="dxa"/>
            <w:textDirection w:val="lrTb"/>
            <w:noWrap w:val="false"/>
          </w:tcPr>
          <w:p>
            <w:pPr>
              <w:rPr>
                <w:color w:val="000000"/>
                <w:sz w:val="20"/>
                <w:szCs w:val="20"/>
              </w:rPr>
            </w:pPr>
            <w:r>
              <w:rPr>
                <w:color w:val="000000"/>
                <w:sz w:val="20"/>
                <w:szCs w:val="20"/>
              </w:rPr>
              <w:t xml:space="preserve">1</w:t>
            </w:r>
            <w:r>
              <w:rPr>
                <w:color w:val="000000"/>
                <w:sz w:val="20"/>
                <w:szCs w:val="20"/>
              </w:rPr>
            </w:r>
            <w:r>
              <w:rPr>
                <w:color w:val="000000"/>
                <w:sz w:val="20"/>
                <w:szCs w:val="20"/>
              </w:rPr>
            </w:r>
          </w:p>
        </w:tc>
        <w:tc>
          <w:tcPr>
            <w:shd w:val="clear" w:color="000000" w:fill="ffffff"/>
            <w:tcBorders>
              <w:top w:val="single" w:color="000000" w:sz="4" w:space="0"/>
              <w:left w:val="single" w:color="000000" w:sz="4" w:space="0"/>
              <w:bottom w:val="single" w:color="000000" w:sz="4" w:space="0"/>
              <w:right w:val="single" w:color="000000" w:sz="4" w:space="0"/>
            </w:tcBorders>
            <w:tcW w:w="3887" w:type="dxa"/>
            <w:textDirection w:val="lrTb"/>
            <w:noWrap w:val="false"/>
          </w:tcPr>
          <w:p>
            <w:r/>
            <w:r/>
          </w:p>
        </w:tc>
        <w:tc>
          <w:tcPr>
            <w:shd w:val="clear" w:color="000000" w:fill="ffffff"/>
            <w:tcBorders>
              <w:top w:val="none" w:color="000000" w:sz="4" w:space="0"/>
              <w:left w:val="none" w:color="000000" w:sz="4" w:space="0"/>
              <w:bottom w:val="single" w:color="000000" w:sz="4" w:space="0"/>
              <w:right w:val="single" w:color="000000" w:sz="4" w:space="0"/>
            </w:tcBorders>
            <w:tcW w:w="811"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46"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312"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25"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66" w:type="dxa"/>
            <w:textDirection w:val="lrTb"/>
            <w:noWrap w:val="false"/>
          </w:tcPr>
          <w:p>
            <w:r/>
            <w:r/>
          </w:p>
        </w:tc>
      </w:tr>
      <w:tr>
        <w:tblPrEx/>
        <w:trPr>
          <w:jc w:val="center"/>
          <w:trHeight w:val="255"/>
        </w:trPr>
        <w:tc>
          <w:tcPr>
            <w:shd w:val="clear" w:color="000000" w:fill="ffffff"/>
            <w:tcBorders>
              <w:top w:val="single" w:color="000000" w:sz="4" w:space="0"/>
              <w:left w:val="single" w:color="000000" w:sz="4" w:space="0"/>
              <w:bottom w:val="single" w:color="000000" w:sz="4" w:space="0"/>
              <w:right w:val="single" w:color="000000" w:sz="4" w:space="0"/>
            </w:tcBorders>
            <w:tcW w:w="503" w:type="dxa"/>
            <w:textDirection w:val="lrTb"/>
            <w:noWrap w:val="false"/>
          </w:tcPr>
          <w:p>
            <w:pPr>
              <w:rPr>
                <w:color w:val="000000"/>
                <w:sz w:val="20"/>
                <w:szCs w:val="20"/>
              </w:rPr>
            </w:pPr>
            <w:r>
              <w:rPr>
                <w:color w:val="000000"/>
                <w:sz w:val="20"/>
                <w:szCs w:val="20"/>
              </w:rPr>
              <w:t xml:space="preserve">2</w:t>
            </w:r>
            <w:r>
              <w:rPr>
                <w:color w:val="000000"/>
                <w:sz w:val="20"/>
                <w:szCs w:val="20"/>
              </w:rPr>
            </w:r>
            <w:r>
              <w:rPr>
                <w:color w:val="000000"/>
                <w:sz w:val="20"/>
                <w:szCs w:val="20"/>
              </w:rPr>
            </w:r>
          </w:p>
        </w:tc>
        <w:tc>
          <w:tcPr>
            <w:shd w:val="clear" w:color="000000" w:fill="ffffff"/>
            <w:tcBorders>
              <w:top w:val="single" w:color="000000" w:sz="4" w:space="0"/>
              <w:left w:val="single" w:color="000000" w:sz="4" w:space="0"/>
              <w:bottom w:val="single" w:color="000000" w:sz="4" w:space="0"/>
              <w:right w:val="single" w:color="000000" w:sz="4" w:space="0"/>
            </w:tcBorders>
            <w:tcW w:w="3887" w:type="dxa"/>
            <w:textDirection w:val="lrTb"/>
            <w:noWrap w:val="false"/>
          </w:tcPr>
          <w:p>
            <w:r/>
            <w:r/>
          </w:p>
        </w:tc>
        <w:tc>
          <w:tcPr>
            <w:shd w:val="clear" w:color="000000" w:fill="ffffff"/>
            <w:tcBorders>
              <w:top w:val="none" w:color="000000" w:sz="4" w:space="0"/>
              <w:left w:val="none" w:color="000000" w:sz="4" w:space="0"/>
              <w:bottom w:val="single" w:color="000000" w:sz="4" w:space="0"/>
              <w:right w:val="single" w:color="000000" w:sz="4" w:space="0"/>
            </w:tcBorders>
            <w:tcW w:w="811"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46"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312"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25"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66" w:type="dxa"/>
            <w:textDirection w:val="lrTb"/>
            <w:noWrap w:val="false"/>
          </w:tcPr>
          <w:p>
            <w:r/>
            <w:r/>
          </w:p>
        </w:tc>
      </w:tr>
      <w:tr>
        <w:tblPrEx/>
        <w:trPr>
          <w:jc w:val="center"/>
          <w:trHeight w:val="255"/>
        </w:trPr>
        <w:tc>
          <w:tcPr>
            <w:shd w:val="clear" w:color="000000" w:fill="ffffff"/>
            <w:tcBorders>
              <w:top w:val="single" w:color="000000" w:sz="4" w:space="0"/>
              <w:left w:val="single" w:color="000000" w:sz="4" w:space="0"/>
              <w:bottom w:val="single" w:color="000000" w:sz="4" w:space="0"/>
              <w:right w:val="single" w:color="000000" w:sz="4" w:space="0"/>
            </w:tcBorders>
            <w:tcW w:w="503" w:type="dxa"/>
            <w:textDirection w:val="lrTb"/>
            <w:noWrap w:val="false"/>
          </w:tcPr>
          <w:p>
            <w:pPr>
              <w:rPr>
                <w:color w:val="000000"/>
                <w:sz w:val="20"/>
                <w:szCs w:val="20"/>
              </w:rPr>
            </w:pPr>
            <w:r>
              <w:rPr>
                <w:color w:val="000000"/>
                <w:sz w:val="20"/>
                <w:szCs w:val="20"/>
              </w:rPr>
            </w:r>
            <w:r>
              <w:rPr>
                <w:color w:val="000000"/>
                <w:sz w:val="20"/>
                <w:szCs w:val="20"/>
              </w:rPr>
            </w:r>
            <w:r>
              <w:rPr>
                <w:color w:val="000000"/>
                <w:sz w:val="20"/>
                <w:szCs w:val="20"/>
              </w:rPr>
            </w:r>
          </w:p>
        </w:tc>
        <w:tc>
          <w:tcPr>
            <w:gridSpan w:val="3"/>
            <w:shd w:val="clear" w:color="000000" w:fill="ffffff"/>
            <w:tcBorders>
              <w:top w:val="single" w:color="000000" w:sz="4" w:space="0"/>
              <w:left w:val="single" w:color="000000" w:sz="4" w:space="0"/>
              <w:bottom w:val="single" w:color="000000" w:sz="4" w:space="0"/>
              <w:right w:val="single" w:color="000000" w:sz="4" w:space="0"/>
            </w:tcBorders>
            <w:tcW w:w="5944" w:type="dxa"/>
            <w:textDirection w:val="lrTb"/>
            <w:noWrap w:val="false"/>
          </w:tcPr>
          <w:p>
            <w:pPr>
              <w:tabs>
                <w:tab w:val="left" w:pos="2010" w:leader="none"/>
              </w:tabs>
              <w:rPr>
                <w:color w:val="000000"/>
                <w:sz w:val="20"/>
                <w:szCs w:val="20"/>
              </w:rPr>
            </w:pPr>
            <w:r>
              <w:rPr>
                <w:b/>
                <w:bCs/>
                <w:color w:val="000000"/>
                <w:sz w:val="20"/>
                <w:szCs w:val="20"/>
              </w:rPr>
              <w:t xml:space="preserve">ИТОГО:</w:t>
            </w:r>
            <w:r>
              <w:rPr>
                <w:color w:val="000000"/>
                <w:sz w:val="20"/>
                <w:szCs w:val="20"/>
              </w:rPr>
            </w:r>
            <w:r>
              <w:rPr>
                <w:color w:val="000000"/>
                <w:sz w:val="20"/>
                <w:szCs w:val="20"/>
              </w:rPr>
            </w:r>
          </w:p>
        </w:tc>
        <w:tc>
          <w:tcPr>
            <w:shd w:val="clear" w:color="000000" w:fill="ffffff"/>
            <w:tcBorders>
              <w:top w:val="single" w:color="000000" w:sz="4" w:space="0"/>
              <w:left w:val="none" w:color="000000" w:sz="4" w:space="0"/>
              <w:bottom w:val="single" w:color="000000" w:sz="4" w:space="0"/>
              <w:right w:val="single" w:color="000000" w:sz="4" w:space="0"/>
            </w:tcBorders>
            <w:tcW w:w="1312"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25" w:type="dxa"/>
            <w:textDirection w:val="lrTb"/>
            <w:noWrap w:val="false"/>
          </w:tcPr>
          <w:p>
            <w:r/>
            <w:r/>
          </w:p>
        </w:tc>
        <w:tc>
          <w:tcPr>
            <w:shd w:val="clear" w:color="000000" w:fill="ffffff"/>
            <w:tcBorders>
              <w:top w:val="single" w:color="000000" w:sz="4" w:space="0"/>
              <w:left w:val="none" w:color="000000" w:sz="4" w:space="0"/>
              <w:bottom w:val="single" w:color="000000" w:sz="4" w:space="0"/>
              <w:right w:val="single" w:color="000000" w:sz="4" w:space="0"/>
            </w:tcBorders>
            <w:tcW w:w="1266" w:type="dxa"/>
            <w:textDirection w:val="lrTb"/>
            <w:noWrap w:val="false"/>
          </w:tcPr>
          <w:p>
            <w:r/>
            <w:r/>
          </w:p>
        </w:tc>
      </w:tr>
    </w:tbl>
    <w:p>
      <w:pPr>
        <w:rPr>
          <w:lang w:val="en-US"/>
        </w:rPr>
      </w:pPr>
      <w:r>
        <w:rPr>
          <w:lang w:val="en-US"/>
        </w:rPr>
      </w:r>
      <w:r>
        <w:rPr>
          <w:lang w:val="en-US"/>
        </w:rPr>
      </w:r>
      <w:r>
        <w:rPr>
          <w:lang w:val="en-US"/>
        </w:rPr>
      </w:r>
    </w:p>
    <w:p>
      <w:pPr>
        <w:rPr>
          <w:lang w:val="en-US"/>
        </w:rPr>
      </w:pPr>
      <w:r>
        <w:rPr>
          <w:lang w:val="en-US"/>
        </w:rPr>
      </w:r>
      <w:r>
        <w:rPr>
          <w:lang w:val="en-US"/>
        </w:rPr>
      </w:r>
      <w:r>
        <w:rPr>
          <w:lang w:val="en-US"/>
        </w:rPr>
      </w:r>
    </w:p>
    <w:p>
      <w:pPr>
        <w:ind w:right="371" w:firstLine="720"/>
      </w:pPr>
      <w:r>
        <w:t xml:space="preserve">Итого: </w:t>
      </w:r>
      <w:r>
        <w:rPr>
          <w:sz w:val="22"/>
          <w:szCs w:val="22"/>
        </w:rPr>
        <w:t xml:space="preserve">_____________________ (_______________________________________) рублей 00 копеек, в том числе НДС _______________________ (___________________________________________) рубля 00 копеек</w:t>
      </w:r>
      <w:r/>
    </w:p>
    <w:p>
      <w:pPr>
        <w:ind w:right="371"/>
        <w:jc w:val="both"/>
      </w:pPr>
      <w:r/>
      <w:r/>
    </w:p>
    <w:p>
      <w:pPr>
        <w:ind w:right="371"/>
        <w:jc w:val="both"/>
      </w:pPr>
      <w:r/>
      <w:r/>
    </w:p>
    <w:p>
      <w:pPr>
        <w:pStyle w:val="1025"/>
        <w:ind w:left="0" w:right="371" w:firstLine="708"/>
        <w:rPr>
          <w:sz w:val="24"/>
          <w:szCs w:val="24"/>
        </w:rPr>
      </w:pPr>
      <w:r>
        <w:rPr>
          <w:sz w:val="24"/>
          <w:szCs w:val="24"/>
        </w:rPr>
        <w:t xml:space="preserve">Гарантийное обслуживание производится в порядке и на условиях, установленных Договором.</w:t>
      </w:r>
      <w:r>
        <w:rPr>
          <w:sz w:val="24"/>
          <w:szCs w:val="24"/>
        </w:rPr>
      </w:r>
      <w:r>
        <w:rPr>
          <w:sz w:val="24"/>
          <w:szCs w:val="24"/>
        </w:rPr>
      </w:r>
    </w:p>
    <w:p>
      <w:pPr>
        <w:pStyle w:val="1025"/>
        <w:ind w:left="0" w:right="371"/>
        <w:rPr>
          <w:sz w:val="24"/>
          <w:szCs w:val="24"/>
        </w:rPr>
      </w:pPr>
      <w:r>
        <w:rPr>
          <w:sz w:val="24"/>
          <w:szCs w:val="24"/>
        </w:rPr>
      </w:r>
      <w:r>
        <w:rPr>
          <w:sz w:val="24"/>
          <w:szCs w:val="24"/>
        </w:rPr>
      </w:r>
      <w:r>
        <w:rPr>
          <w:sz w:val="24"/>
          <w:szCs w:val="24"/>
        </w:rPr>
      </w:r>
    </w:p>
    <w:p>
      <w:pPr>
        <w:pStyle w:val="1025"/>
        <w:ind w:left="0" w:right="371"/>
        <w:rPr>
          <w:sz w:val="24"/>
          <w:szCs w:val="24"/>
        </w:rPr>
      </w:pPr>
      <w:r>
        <w:rPr>
          <w:sz w:val="24"/>
          <w:szCs w:val="24"/>
        </w:rPr>
      </w:r>
      <w:r>
        <w:rPr>
          <w:sz w:val="24"/>
          <w:szCs w:val="24"/>
        </w:rPr>
      </w:r>
      <w:r>
        <w:rPr>
          <w:sz w:val="24"/>
          <w:szCs w:val="24"/>
        </w:rPr>
      </w:r>
    </w:p>
    <w:tbl>
      <w:tblPr>
        <w:tblW w:w="0" w:type="auto"/>
        <w:jc w:val="center"/>
        <w:tblLayout w:type="fixed"/>
        <w:tblLook w:val="01E0" w:firstRow="1" w:lastRow="1" w:firstColumn="1" w:lastColumn="1" w:noHBand="0" w:noVBand="0"/>
      </w:tblPr>
      <w:tblGrid>
        <w:gridCol w:w="5232"/>
        <w:gridCol w:w="5230"/>
      </w:tblGrid>
      <w:tr>
        <w:tblPrEx/>
        <w:trPr>
          <w:jc w:val="center"/>
          <w:trHeight w:val="1116"/>
        </w:trPr>
        <w:tc>
          <w:tcPr>
            <w:tcW w:w="5232" w:type="dxa"/>
            <w:textDirection w:val="lrTb"/>
            <w:noWrap w:val="false"/>
          </w:tcPr>
          <w:p>
            <w:pPr>
              <w:ind w:right="261"/>
              <w:jc w:val="both"/>
              <w:widowControl w:val="off"/>
              <w:rPr>
                <w:b/>
                <w:sz w:val="22"/>
                <w:szCs w:val="22"/>
              </w:rPr>
            </w:pPr>
            <w:r>
              <w:rPr>
                <w:b/>
                <w:sz w:val="22"/>
                <w:szCs w:val="22"/>
              </w:rPr>
              <w:t xml:space="preserve">Покупатель</w:t>
            </w:r>
            <w:r>
              <w:rPr>
                <w:b/>
                <w:sz w:val="22"/>
                <w:szCs w:val="22"/>
              </w:rPr>
            </w:r>
            <w:r>
              <w:rPr>
                <w:b/>
                <w:sz w:val="22"/>
                <w:szCs w:val="22"/>
              </w:rPr>
            </w:r>
          </w:p>
          <w:p>
            <w:pPr>
              <w:shd w:val="clear" w:color="auto" w:fill="ffffff"/>
              <w:rPr>
                <w:b/>
                <w:sz w:val="22"/>
                <w:szCs w:val="22"/>
              </w:rPr>
            </w:pPr>
            <w:r>
              <w:rPr>
                <w:b/>
                <w:sz w:val="22"/>
                <w:szCs w:val="22"/>
              </w:rPr>
              <w:t xml:space="preserve">ООО «Интер РАО – Инжиниринг»</w:t>
            </w:r>
            <w:r>
              <w:rPr>
                <w:b/>
                <w:sz w:val="22"/>
                <w:szCs w:val="22"/>
              </w:rPr>
            </w:r>
            <w:r>
              <w:rPr>
                <w:b/>
                <w:sz w:val="22"/>
                <w:szCs w:val="22"/>
              </w:rPr>
            </w:r>
          </w:p>
          <w:p>
            <w:pPr>
              <w:shd w:val="clear" w:color="auto" w:fill="ffffff"/>
              <w:rPr>
                <w:sz w:val="22"/>
                <w:szCs w:val="22"/>
              </w:rPr>
            </w:pPr>
            <w:r>
              <w:rPr>
                <w:sz w:val="22"/>
                <w:szCs w:val="22"/>
                <w:u w:val="single"/>
              </w:rPr>
              <w:t xml:space="preserve">Место нахождения:</w:t>
            </w:r>
            <w:r>
              <w:rPr>
                <w:sz w:val="22"/>
                <w:szCs w:val="22"/>
              </w:rPr>
              <w:t xml:space="preserve"> 119435, Москва, ул. Большая Пироговская, д. 27, стр. 4</w:t>
            </w:r>
            <w:r>
              <w:rPr>
                <w:sz w:val="22"/>
                <w:szCs w:val="22"/>
              </w:rPr>
            </w:r>
            <w:r>
              <w:rPr>
                <w:sz w:val="22"/>
                <w:szCs w:val="22"/>
              </w:rPr>
            </w:r>
          </w:p>
          <w:p>
            <w:pPr>
              <w:shd w:val="clear" w:color="auto" w:fill="ffffff"/>
              <w:rPr>
                <w:sz w:val="22"/>
                <w:szCs w:val="22"/>
              </w:rPr>
            </w:pPr>
            <w:r>
              <w:rPr>
                <w:sz w:val="22"/>
                <w:szCs w:val="22"/>
              </w:rPr>
              <w:t xml:space="preserve">ИНН 5036101347 / КПП 774501001</w:t>
            </w:r>
            <w:r>
              <w:rPr>
                <w:sz w:val="22"/>
                <w:szCs w:val="22"/>
              </w:rPr>
            </w:r>
            <w:r>
              <w:rPr>
                <w:sz w:val="22"/>
                <w:szCs w:val="22"/>
              </w:rPr>
            </w:r>
          </w:p>
          <w:p>
            <w:pPr>
              <w:shd w:val="clear" w:color="auto" w:fill="ffffff"/>
              <w:rPr>
                <w:sz w:val="22"/>
                <w:szCs w:val="22"/>
              </w:rPr>
            </w:pPr>
            <w:r>
              <w:rPr>
                <w:sz w:val="22"/>
                <w:szCs w:val="22"/>
              </w:rPr>
              <w:t xml:space="preserve">Почтовый адрес: 119435, г. Москва, ул. Большая Пироговская, д. 27, стр. 4</w:t>
            </w:r>
            <w:r>
              <w:rPr>
                <w:sz w:val="22"/>
                <w:szCs w:val="22"/>
              </w:rPr>
            </w:r>
            <w:r>
              <w:rPr>
                <w:sz w:val="22"/>
                <w:szCs w:val="22"/>
              </w:rPr>
            </w:r>
          </w:p>
          <w:p>
            <w:pPr>
              <w:shd w:val="clear" w:color="auto" w:fill="ffffff"/>
              <w:rPr>
                <w:sz w:val="22"/>
                <w:szCs w:val="22"/>
              </w:rPr>
            </w:pPr>
            <w:r>
              <w:rPr>
                <w:sz w:val="22"/>
                <w:szCs w:val="22"/>
              </w:rPr>
              <w:t xml:space="preserve">Тел.+7 (495) 664-88-40</w:t>
            </w:r>
            <w:r>
              <w:rPr>
                <w:sz w:val="22"/>
                <w:szCs w:val="22"/>
              </w:rPr>
            </w:r>
            <w:r>
              <w:rPr>
                <w:sz w:val="22"/>
                <w:szCs w:val="22"/>
              </w:rPr>
            </w:r>
          </w:p>
          <w:p>
            <w:pPr>
              <w:shd w:val="clear" w:color="auto" w:fill="ffffff"/>
              <w:rPr>
                <w:sz w:val="22"/>
                <w:szCs w:val="22"/>
                <w:lang w:val="en-US"/>
              </w:rPr>
            </w:pPr>
            <w:r>
              <w:rPr>
                <w:sz w:val="22"/>
                <w:szCs w:val="22"/>
                <w:lang w:val="en-US"/>
              </w:rPr>
              <w:t xml:space="preserve">E-mail: irao-e@interrao.ru</w:t>
            </w:r>
            <w:r>
              <w:rPr>
                <w:sz w:val="22"/>
                <w:szCs w:val="22"/>
                <w:lang w:val="en-US"/>
              </w:rPr>
            </w:r>
            <w:r>
              <w:rPr>
                <w:sz w:val="22"/>
                <w:szCs w:val="22"/>
                <w:lang w:val="en-US"/>
              </w:rPr>
            </w:r>
          </w:p>
          <w:p>
            <w:pPr>
              <w:shd w:val="clear" w:color="auto" w:fill="ffffff"/>
              <w:rPr>
                <w:sz w:val="22"/>
                <w:szCs w:val="22"/>
              </w:rPr>
            </w:pPr>
            <w:r>
              <w:rPr>
                <w:sz w:val="22"/>
                <w:szCs w:val="22"/>
              </w:rPr>
              <w:t xml:space="preserve">Р/c 40702810692000004017 в Банк ГПБ (ОАО) г. Москва</w:t>
            </w:r>
            <w:r>
              <w:rPr>
                <w:sz w:val="22"/>
                <w:szCs w:val="22"/>
              </w:rPr>
            </w:r>
            <w:r>
              <w:rPr>
                <w:sz w:val="22"/>
                <w:szCs w:val="22"/>
              </w:rPr>
            </w:r>
          </w:p>
          <w:p>
            <w:pPr>
              <w:shd w:val="clear" w:color="auto" w:fill="ffffff"/>
              <w:rPr>
                <w:sz w:val="22"/>
                <w:szCs w:val="22"/>
              </w:rPr>
            </w:pPr>
            <w:r>
              <w:rPr>
                <w:sz w:val="22"/>
                <w:szCs w:val="22"/>
              </w:rPr>
              <w:t xml:space="preserve">БИК 044525823</w:t>
            </w:r>
            <w:r>
              <w:rPr>
                <w:sz w:val="22"/>
                <w:szCs w:val="22"/>
              </w:rPr>
            </w:r>
            <w:r>
              <w:rPr>
                <w:sz w:val="22"/>
                <w:szCs w:val="22"/>
              </w:rPr>
            </w:r>
          </w:p>
          <w:p>
            <w:pPr>
              <w:shd w:val="clear" w:color="auto" w:fill="ffffff"/>
              <w:rPr>
                <w:sz w:val="22"/>
                <w:szCs w:val="22"/>
              </w:rPr>
            </w:pPr>
            <w:r>
              <w:rPr>
                <w:sz w:val="22"/>
                <w:szCs w:val="22"/>
              </w:rPr>
              <w:t xml:space="preserve">к/с 30101810200000000823</w:t>
            </w:r>
            <w:r>
              <w:rPr>
                <w:sz w:val="22"/>
                <w:szCs w:val="22"/>
              </w:rPr>
            </w:r>
            <w:r>
              <w:rPr>
                <w:sz w:val="22"/>
                <w:szCs w:val="22"/>
              </w:rPr>
            </w:r>
          </w:p>
          <w:p>
            <w:pPr>
              <w:shd w:val="clear" w:color="auto" w:fill="ffffff"/>
              <w:rPr>
                <w:b/>
                <w:sz w:val="22"/>
                <w:szCs w:val="22"/>
              </w:rPr>
            </w:pPr>
            <w:r>
              <w:rPr>
                <w:b/>
                <w:sz w:val="22"/>
                <w:szCs w:val="22"/>
              </w:rPr>
              <w:t xml:space="preserve">Барнаульск</w:t>
            </w:r>
            <w:r>
              <w:rPr>
                <w:b/>
                <w:sz w:val="22"/>
                <w:szCs w:val="22"/>
              </w:rPr>
              <w:t xml:space="preserve">ое ОП</w:t>
            </w:r>
            <w:r>
              <w:rPr>
                <w:b/>
                <w:sz w:val="22"/>
                <w:szCs w:val="22"/>
              </w:rPr>
              <w:t xml:space="preserve"> ООО «Интер РАО-Инжиниринг»</w:t>
            </w:r>
            <w:r>
              <w:rPr>
                <w:b/>
                <w:sz w:val="22"/>
                <w:szCs w:val="22"/>
              </w:rPr>
            </w:r>
            <w:r>
              <w:rPr>
                <w:b/>
                <w:sz w:val="22"/>
                <w:szCs w:val="22"/>
              </w:rPr>
            </w:r>
          </w:p>
          <w:p>
            <w:pPr>
              <w:rPr>
                <w:sz w:val="22"/>
                <w:szCs w:val="22"/>
              </w:rPr>
            </w:pPr>
            <w:r>
              <w:rPr>
                <w:sz w:val="22"/>
                <w:szCs w:val="22"/>
                <w:u w:val="single"/>
              </w:rPr>
              <w:t xml:space="preserve">Место нахождения филиала</w:t>
            </w:r>
            <w:r>
              <w:rPr>
                <w:sz w:val="22"/>
                <w:szCs w:val="22"/>
              </w:rPr>
              <w:t xml:space="preserve">: 656063, Российская Федерация, Алтайский край, г. Барнаул, ул. Попова, д. 11</w:t>
            </w:r>
            <w:r>
              <w:rPr>
                <w:sz w:val="22"/>
                <w:szCs w:val="22"/>
              </w:rPr>
            </w:r>
            <w:r>
              <w:rPr>
                <w:sz w:val="22"/>
                <w:szCs w:val="22"/>
              </w:rPr>
            </w:r>
          </w:p>
          <w:p>
            <w:pPr>
              <w:rPr>
                <w:sz w:val="22"/>
                <w:szCs w:val="22"/>
              </w:rPr>
            </w:pPr>
            <w:r>
              <w:rPr>
                <w:sz w:val="22"/>
                <w:szCs w:val="22"/>
                <w:u w:val="single"/>
              </w:rPr>
              <w:t xml:space="preserve">Фактический адрес</w:t>
            </w:r>
            <w:r>
              <w:rPr>
                <w:sz w:val="22"/>
                <w:szCs w:val="22"/>
              </w:rPr>
              <w:t xml:space="preserve">: 656010, Алтайский край, г. Барнаул, ул. 80 Гвардейской Дивизии, 37, стр. 1, 3 этаж, офис 301</w:t>
            </w:r>
            <w:r>
              <w:rPr>
                <w:sz w:val="22"/>
                <w:szCs w:val="22"/>
              </w:rPr>
            </w:r>
            <w:r>
              <w:rPr>
                <w:sz w:val="22"/>
                <w:szCs w:val="22"/>
              </w:rPr>
            </w:r>
          </w:p>
          <w:p>
            <w:pPr>
              <w:rPr>
                <w:bCs/>
                <w:sz w:val="22"/>
                <w:szCs w:val="22"/>
              </w:rPr>
            </w:pPr>
            <w:r>
              <w:rPr>
                <w:bCs/>
                <w:sz w:val="22"/>
                <w:szCs w:val="22"/>
              </w:rPr>
              <w:t xml:space="preserve">КПП 222345001</w:t>
            </w:r>
            <w:r>
              <w:rPr>
                <w:bCs/>
                <w:sz w:val="22"/>
                <w:szCs w:val="22"/>
              </w:rPr>
            </w:r>
            <w:r>
              <w:rPr>
                <w:bCs/>
                <w:sz w:val="22"/>
                <w:szCs w:val="22"/>
              </w:rPr>
            </w:r>
          </w:p>
          <w:p>
            <w:pPr>
              <w:rPr>
                <w:sz w:val="22"/>
                <w:szCs w:val="22"/>
              </w:rPr>
            </w:pPr>
            <w:r>
              <w:rPr>
                <w:sz w:val="22"/>
                <w:szCs w:val="22"/>
              </w:rPr>
              <w:t xml:space="preserve">ОГРН 1095074008545</w:t>
            </w:r>
            <w:r>
              <w:rPr>
                <w:sz w:val="22"/>
                <w:szCs w:val="22"/>
              </w:rPr>
            </w:r>
            <w:r>
              <w:rPr>
                <w:sz w:val="22"/>
                <w:szCs w:val="22"/>
              </w:rPr>
            </w:r>
          </w:p>
          <w:p>
            <w:pPr>
              <w:rPr>
                <w:sz w:val="22"/>
                <w:szCs w:val="22"/>
              </w:rPr>
            </w:pPr>
            <w:r>
              <w:rPr>
                <w:sz w:val="22"/>
                <w:szCs w:val="22"/>
              </w:rPr>
              <w:t xml:space="preserve">ИНН 5036101347</w:t>
            </w:r>
            <w:r>
              <w:rPr>
                <w:sz w:val="22"/>
                <w:szCs w:val="22"/>
              </w:rPr>
            </w:r>
            <w:r>
              <w:rPr>
                <w:sz w:val="22"/>
                <w:szCs w:val="22"/>
              </w:rPr>
            </w:r>
          </w:p>
          <w:p>
            <w:pPr>
              <w:rPr>
                <w:sz w:val="22"/>
                <w:szCs w:val="22"/>
              </w:rPr>
            </w:pPr>
            <w:r>
              <w:rPr>
                <w:sz w:val="22"/>
                <w:szCs w:val="22"/>
              </w:rPr>
              <w:t xml:space="preserve">Банковские реквизиты:</w:t>
            </w:r>
            <w:r>
              <w:rPr>
                <w:sz w:val="22"/>
                <w:szCs w:val="22"/>
              </w:rPr>
            </w:r>
            <w:r>
              <w:rPr>
                <w:sz w:val="22"/>
                <w:szCs w:val="22"/>
              </w:rPr>
            </w:r>
          </w:p>
          <w:p>
            <w:pPr>
              <w:rPr>
                <w:sz w:val="22"/>
                <w:szCs w:val="22"/>
              </w:rPr>
            </w:pPr>
            <w:r>
              <w:rPr>
                <w:sz w:val="22"/>
                <w:szCs w:val="22"/>
              </w:rPr>
              <w:t xml:space="preserve">Банк ГПБ (АО),</w:t>
            </w:r>
            <w:r>
              <w:rPr>
                <w:sz w:val="22"/>
                <w:szCs w:val="22"/>
              </w:rPr>
            </w:r>
            <w:r>
              <w:rPr>
                <w:sz w:val="22"/>
                <w:szCs w:val="22"/>
              </w:rPr>
            </w:r>
          </w:p>
          <w:p>
            <w:pPr>
              <w:rPr>
                <w:sz w:val="22"/>
                <w:szCs w:val="22"/>
              </w:rPr>
            </w:pPr>
            <w:r>
              <w:rPr>
                <w:sz w:val="22"/>
                <w:szCs w:val="22"/>
              </w:rPr>
              <w:t xml:space="preserve">р/с 40702810692000004017,</w:t>
            </w:r>
            <w:r>
              <w:rPr>
                <w:sz w:val="22"/>
                <w:szCs w:val="22"/>
              </w:rPr>
            </w:r>
            <w:r>
              <w:rPr>
                <w:sz w:val="22"/>
                <w:szCs w:val="22"/>
              </w:rPr>
            </w:r>
          </w:p>
          <w:p>
            <w:pPr>
              <w:rPr>
                <w:sz w:val="22"/>
                <w:szCs w:val="22"/>
              </w:rPr>
            </w:pPr>
            <w:r>
              <w:rPr>
                <w:sz w:val="22"/>
                <w:szCs w:val="22"/>
              </w:rPr>
              <w:t xml:space="preserve">к/с 30101810200000000823</w:t>
            </w:r>
            <w:r>
              <w:rPr>
                <w:sz w:val="22"/>
                <w:szCs w:val="22"/>
              </w:rPr>
            </w:r>
            <w:r>
              <w:rPr>
                <w:sz w:val="22"/>
                <w:szCs w:val="22"/>
              </w:rPr>
            </w:r>
          </w:p>
          <w:p>
            <w:pPr>
              <w:rPr>
                <w:sz w:val="22"/>
                <w:szCs w:val="22"/>
              </w:rPr>
            </w:pPr>
            <w:r>
              <w:rPr>
                <w:sz w:val="22"/>
                <w:szCs w:val="22"/>
              </w:rPr>
              <w:t xml:space="preserve">БИК 044525823</w:t>
            </w:r>
            <w:r>
              <w:rPr>
                <w:sz w:val="22"/>
                <w:szCs w:val="22"/>
              </w:rPr>
            </w:r>
            <w:r>
              <w:rPr>
                <w:sz w:val="22"/>
                <w:szCs w:val="22"/>
              </w:rPr>
            </w:r>
          </w:p>
          <w:p>
            <w:pPr>
              <w:rPr>
                <w:sz w:val="22"/>
                <w:szCs w:val="22"/>
              </w:rPr>
            </w:pPr>
            <w:r>
              <w:rPr>
                <w:sz w:val="22"/>
                <w:szCs w:val="22"/>
              </w:rPr>
              <w:t xml:space="preserve">тел.  +7 (495) 664-88-40</w:t>
            </w:r>
            <w:r>
              <w:rPr>
                <w:sz w:val="22"/>
                <w:szCs w:val="22"/>
              </w:rPr>
            </w:r>
            <w:r>
              <w:rPr>
                <w:sz w:val="22"/>
                <w:szCs w:val="22"/>
              </w:rPr>
            </w:r>
          </w:p>
          <w:p>
            <w:pPr>
              <w:rPr>
                <w:sz w:val="22"/>
                <w:szCs w:val="22"/>
              </w:rPr>
            </w:pPr>
            <w:r>
              <w:rPr>
                <w:sz w:val="22"/>
                <w:szCs w:val="22"/>
              </w:rPr>
              <w:t xml:space="preserve">Факс</w:t>
            </w:r>
            <w:r>
              <w:rPr>
                <w:sz w:val="22"/>
                <w:szCs w:val="22"/>
              </w:rPr>
              <w:t xml:space="preserve"> +7(495) 664-88-41</w:t>
            </w:r>
            <w:r>
              <w:rPr>
                <w:sz w:val="22"/>
                <w:szCs w:val="22"/>
              </w:rPr>
            </w:r>
            <w:r>
              <w:rPr>
                <w:sz w:val="22"/>
                <w:szCs w:val="22"/>
              </w:rPr>
            </w:r>
          </w:p>
          <w:p>
            <w:pPr>
              <w:shd w:val="clear" w:color="auto" w:fill="ffffff"/>
              <w:rPr>
                <w:sz w:val="22"/>
                <w:szCs w:val="22"/>
              </w:rPr>
            </w:pPr>
            <w:r>
              <w:rPr>
                <w:sz w:val="22"/>
                <w:szCs w:val="22"/>
              </w:rPr>
            </w:r>
            <w:r>
              <w:rPr>
                <w:sz w:val="22"/>
                <w:szCs w:val="22"/>
              </w:rPr>
            </w:r>
            <w:r>
              <w:rPr>
                <w:sz w:val="22"/>
                <w:szCs w:val="22"/>
              </w:rPr>
            </w:r>
          </w:p>
          <w:p>
            <w:pPr>
              <w:shd w:val="clear" w:color="auto" w:fill="ffffff"/>
              <w:rPr>
                <w:sz w:val="22"/>
                <w:szCs w:val="22"/>
              </w:rPr>
            </w:pPr>
            <w:r>
              <w:rPr>
                <w:sz w:val="22"/>
                <w:szCs w:val="22"/>
              </w:rPr>
            </w:r>
            <w:r>
              <w:rPr>
                <w:sz w:val="22"/>
                <w:szCs w:val="22"/>
              </w:rPr>
            </w:r>
            <w:r>
              <w:rPr>
                <w:sz w:val="22"/>
                <w:szCs w:val="22"/>
              </w:rPr>
            </w:r>
          </w:p>
          <w:p>
            <w:pPr>
              <w:shd w:val="clear" w:color="auto" w:fill="ffffff"/>
              <w:rPr>
                <w:sz w:val="22"/>
                <w:szCs w:val="22"/>
              </w:rPr>
            </w:pPr>
            <w:r>
              <w:rPr>
                <w:sz w:val="22"/>
                <w:szCs w:val="22"/>
              </w:rPr>
            </w:r>
            <w:r>
              <w:rPr>
                <w:sz w:val="22"/>
                <w:szCs w:val="22"/>
              </w:rPr>
            </w:r>
            <w:r>
              <w:rPr>
                <w:sz w:val="22"/>
                <w:szCs w:val="22"/>
              </w:rPr>
            </w:r>
          </w:p>
        </w:tc>
        <w:tc>
          <w:tcPr>
            <w:tcW w:w="5230" w:type="dxa"/>
            <w:textDirection w:val="lrTb"/>
            <w:noWrap w:val="false"/>
          </w:tcPr>
          <w:p>
            <w:pPr>
              <w:ind w:right="261"/>
              <w:widowControl w:val="off"/>
              <w:rPr>
                <w:b/>
                <w:sz w:val="22"/>
                <w:szCs w:val="22"/>
              </w:rPr>
            </w:pPr>
            <w:r>
              <w:rPr>
                <w:b/>
                <w:sz w:val="22"/>
                <w:szCs w:val="22"/>
              </w:rPr>
              <w:t xml:space="preserve">Поставщик</w:t>
            </w:r>
            <w:r>
              <w:rPr>
                <w:b/>
                <w:sz w:val="22"/>
                <w:szCs w:val="22"/>
              </w:rPr>
            </w:r>
            <w:r>
              <w:rPr>
                <w:b/>
                <w:sz w:val="22"/>
                <w:szCs w:val="22"/>
              </w:rPr>
            </w:r>
          </w:p>
          <w:p>
            <w:pPr>
              <w:shd w:val="clear" w:color="auto" w:fill="ffffff"/>
              <w:rPr>
                <w:b/>
                <w:sz w:val="22"/>
                <w:szCs w:val="22"/>
              </w:rPr>
            </w:pPr>
            <w:r>
              <w:rPr>
                <w:b/>
                <w:sz w:val="22"/>
                <w:szCs w:val="22"/>
              </w:rPr>
            </w:r>
            <w:r>
              <w:rPr>
                <w:b/>
                <w:sz w:val="22"/>
                <w:szCs w:val="22"/>
              </w:rPr>
            </w:r>
            <w:r>
              <w:rPr>
                <w:b/>
                <w:sz w:val="22"/>
                <w:szCs w:val="22"/>
              </w:rPr>
            </w:r>
          </w:p>
        </w:tc>
      </w:tr>
      <w:tr>
        <w:tblPrEx/>
        <w:trPr>
          <w:jc w:val="center"/>
          <w:trHeight w:val="1116"/>
        </w:trPr>
        <w:tc>
          <w:tcPr>
            <w:tcW w:w="5232" w:type="dxa"/>
            <w:textDirection w:val="lrTb"/>
            <w:noWrap w:val="false"/>
          </w:tcPr>
          <w:p>
            <w:pPr>
              <w:ind w:right="-1"/>
              <w:jc w:val="right"/>
              <w:rPr>
                <w:b/>
                <w:bCs/>
                <w:sz w:val="22"/>
                <w:szCs w:val="22"/>
              </w:rPr>
            </w:pPr>
            <w:r>
              <w:rPr>
                <w:b/>
                <w:bCs/>
                <w:sz w:val="22"/>
                <w:szCs w:val="22"/>
              </w:rPr>
              <w:t xml:space="preserve">От Покупателя:</w:t>
            </w:r>
            <w:r>
              <w:rPr>
                <w:b/>
                <w:bCs/>
                <w:sz w:val="22"/>
                <w:szCs w:val="22"/>
              </w:rPr>
            </w:r>
            <w:r>
              <w:rPr>
                <w:b/>
                <w:bCs/>
                <w:sz w:val="22"/>
                <w:szCs w:val="22"/>
              </w:rPr>
            </w:r>
          </w:p>
        </w:tc>
        <w:tc>
          <w:tcPr>
            <w:tcW w:w="5230" w:type="dxa"/>
            <w:textDirection w:val="lrTb"/>
            <w:noWrap w:val="false"/>
          </w:tcPr>
          <w:p>
            <w:pPr>
              <w:jc w:val="right"/>
              <w:widowControl w:val="off"/>
              <w:rPr>
                <w:b/>
                <w:sz w:val="22"/>
                <w:szCs w:val="22"/>
              </w:rPr>
            </w:pPr>
            <w:r>
              <w:rPr>
                <w:b/>
                <w:sz w:val="22"/>
                <w:szCs w:val="22"/>
              </w:rPr>
              <w:t xml:space="preserve">От Поставщика:</w:t>
            </w:r>
            <w:r>
              <w:rPr>
                <w:b/>
                <w:sz w:val="22"/>
                <w:szCs w:val="22"/>
              </w:rPr>
            </w:r>
            <w:r>
              <w:rPr>
                <w:b/>
                <w:sz w:val="22"/>
                <w:szCs w:val="22"/>
              </w:rPr>
            </w:r>
          </w:p>
        </w:tc>
      </w:tr>
    </w:tbl>
    <w:p>
      <w:r/>
      <w:r/>
    </w:p>
    <w:sectPr>
      <w:headerReference w:type="default" r:id="rId11"/>
      <w:headerReference w:type="even" r:id="rId12"/>
      <w:headerReference w:type="first" r:id="rId13"/>
      <w:footerReference w:type="default" r:id="rId15"/>
      <w:footerReference w:type="even" r:id="rId16"/>
      <w:footerReference w:type="first" r:id="rId17"/>
      <w:footnotePr/>
      <w:endnotePr/>
      <w:type w:val="nextPage"/>
      <w:pgSz w:w="11905" w:h="16837" w:orient="portrait"/>
      <w:pgMar w:top="284" w:right="745" w:bottom="425" w:left="900"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Tahoma">
    <w:panose1 w:val="020B0604030504040204"/>
  </w:font>
  <w:font w:name="Courier New">
    <w:panose1 w:val="02070409020205020404"/>
  </w:font>
  <w:font w:name="Cambria">
    <w:panose1 w:val="02040503050406030204"/>
  </w:font>
  <w:font w:name="Arial">
    <w:panose1 w:val="020B0604020202020204"/>
  </w:font>
  <w:font w:name="Calibri">
    <w:panose1 w:val="020F0502020204030204"/>
  </w:font>
  <w:font w:name="Times New Roman">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3"/>
      <w:jc w:val="center"/>
      <w:rPr>
        <w:sz w:val="22"/>
        <w:szCs w:val="22"/>
      </w:rPr>
    </w:pPr>
    <w:r>
      <w:rPr>
        <w:sz w:val="22"/>
        <w:szCs w:val="22"/>
      </w:rPr>
      <w:fldChar w:fldCharType="begin"/>
    </w:r>
    <w:r>
      <w:rPr>
        <w:sz w:val="22"/>
        <w:szCs w:val="22"/>
      </w:rPr>
      <w:instrText xml:space="preserve">PAGE   \* MERGEFORMAT</w:instrText>
    </w:r>
    <w:r>
      <w:rPr>
        <w:sz w:val="22"/>
        <w:szCs w:val="22"/>
      </w:rPr>
      <w:fldChar w:fldCharType="separate"/>
    </w:r>
    <w:r>
      <w:rPr>
        <w:sz w:val="22"/>
        <w:szCs w:val="22"/>
      </w:rPr>
      <w:t xml:space="preserve">1</w:t>
    </w:r>
    <w:r>
      <w:rPr>
        <w:sz w:val="22"/>
        <w:szCs w:val="22"/>
      </w:rPr>
      <w:fldChar w:fldCharType="end"/>
    </w:r>
    <w:r>
      <w:rPr>
        <w:sz w:val="22"/>
        <w:szCs w:val="22"/>
      </w:rPr>
    </w:r>
    <w:r>
      <w:rPr>
        <w:sz w:val="22"/>
        <w:szCs w:val="2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3"/>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3"/>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jc w:val="right"/>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rPr>
        <w:rStyle w:val="1015"/>
      </w:rPr>
      <w:framePr w:wrap="around" w:vAnchor="text" w:hAnchor="margin" w:xAlign="center" w:y="1"/>
    </w:pPr>
    <w:r>
      <w:rPr>
        <w:rStyle w:val="1015"/>
      </w:rPr>
      <w:fldChar w:fldCharType="begin"/>
    </w:r>
    <w:r>
      <w:rPr>
        <w:rStyle w:val="1015"/>
      </w:rPr>
      <w:instrText xml:space="preserve">PAGE  </w:instrText>
    </w:r>
    <w:r>
      <w:rPr>
        <w:rStyle w:val="1015"/>
      </w:rPr>
      <w:fldChar w:fldCharType="end"/>
    </w:r>
    <w:r>
      <w:rPr>
        <w:rStyle w:val="1015"/>
      </w:rPr>
    </w:r>
    <w:r>
      <w:rPr>
        <w:rStyle w:val="1015"/>
      </w:rPr>
    </w:r>
  </w:p>
  <w:p>
    <w:pPr>
      <w:pStyle w:val="1011"/>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432" w:hanging="432"/>
        <w:tabs>
          <w:tab w:val="num" w:pos="432" w:leader="none"/>
        </w:tabs>
      </w:pPr>
      <w:rPr>
        <w:rFonts w:hint="default"/>
        <w:i w:val="0"/>
        <w:color w:val="auto"/>
      </w:rPr>
    </w:lvl>
    <w:lvl w:ilvl="2">
      <w:start w:val="1"/>
      <w:numFmt w:val="decimal"/>
      <w:isLgl w:val="false"/>
      <w:suff w:val="tab"/>
      <w:lvlText w:val="%1.%2.%3."/>
      <w:lvlJc w:val="left"/>
      <w:pPr>
        <w:ind w:left="1224" w:hanging="504"/>
        <w:tabs>
          <w:tab w:val="num" w:pos="1440" w:leader="none"/>
        </w:tabs>
      </w:pPr>
      <w:rPr>
        <w:rFonts w:hint="default"/>
      </w:rPr>
    </w:lvl>
    <w:lvl w:ilvl="3">
      <w:start w:val="1"/>
      <w:numFmt w:val="decimal"/>
      <w:isLgl w:val="false"/>
      <w:suff w:val="tab"/>
      <w:lvlText w:val="%1.%2.%3.%4."/>
      <w:lvlJc w:val="left"/>
      <w:pPr>
        <w:ind w:left="1728" w:hanging="648"/>
        <w:tabs>
          <w:tab w:val="num" w:pos="180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1">
    <w:multiLevelType w:val="hybridMultilevel"/>
    <w:lvl w:ilvl="0">
      <w:start w:val="1"/>
      <w:numFmt w:val="lowerLetter"/>
      <w:isLgl w:val="false"/>
      <w:suff w:val="tab"/>
      <w:lvlText w:val="%1)"/>
      <w:lvlJc w:val="left"/>
      <w:pPr>
        <w:ind w:left="1211" w:hanging="360"/>
        <w:tabs>
          <w:tab w:val="num" w:pos="1211"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ascii="Times New Roman" w:hAnsi="Times New Roman" w:eastAsia="Times New Roman" w:cs="Times New Roman"/>
        <w:b/>
      </w:rPr>
    </w:lvl>
    <w:lvl w:ilvl="1">
      <w:start w:val="1"/>
      <w:numFmt w:val="decimal"/>
      <w:isLgl/>
      <w:suff w:val="tab"/>
      <w:lvlText w:val="%1.%2."/>
      <w:lvlJc w:val="left"/>
      <w:pPr>
        <w:ind w:left="1854" w:hanging="720"/>
        <w:tabs>
          <w:tab w:val="num" w:pos="1854" w:leader="none"/>
        </w:tabs>
      </w:pPr>
      <w:rPr>
        <w:rFonts w:ascii="Times New Roman" w:hAnsi="Times New Roman" w:eastAsia="Times New Roman" w:cs="Times New Roman"/>
      </w:rPr>
    </w:lvl>
    <w:lvl w:ilvl="2">
      <w:start w:val="1"/>
      <w:numFmt w:val="decimal"/>
      <w:isLgl/>
      <w:suff w:val="tab"/>
      <w:lvlText w:val="%1.%2.%3."/>
      <w:lvlJc w:val="left"/>
      <w:pPr>
        <w:ind w:left="720" w:hanging="720"/>
        <w:tabs>
          <w:tab w:val="num" w:pos="720" w:leader="none"/>
        </w:tabs>
      </w:pPr>
      <w:rPr>
        <w:rFonts w:hint="default" w:cs="Times New Roman"/>
      </w:rPr>
    </w:lvl>
    <w:lvl w:ilvl="3">
      <w:start w:val="1"/>
      <w:numFmt w:val="decimal"/>
      <w:isLgl/>
      <w:suff w:val="tab"/>
      <w:lvlText w:val="%1.%2.%3.%4."/>
      <w:lvlJc w:val="left"/>
      <w:pPr>
        <w:ind w:left="1080" w:hanging="1080"/>
        <w:tabs>
          <w:tab w:val="num" w:pos="1080" w:leader="none"/>
        </w:tabs>
      </w:pPr>
      <w:rPr>
        <w:rFonts w:hint="default" w:cs="Times New Roman"/>
      </w:rPr>
    </w:lvl>
    <w:lvl w:ilvl="4">
      <w:start w:val="1"/>
      <w:numFmt w:val="decimal"/>
      <w:isLgl/>
      <w:suff w:val="tab"/>
      <w:lvlText w:val="%1.%2.%3.%4.%5."/>
      <w:lvlJc w:val="left"/>
      <w:pPr>
        <w:ind w:left="1080" w:hanging="1080"/>
        <w:tabs>
          <w:tab w:val="num" w:pos="1080" w:leader="none"/>
        </w:tabs>
      </w:pPr>
      <w:rPr>
        <w:rFonts w:hint="default" w:cs="Times New Roman"/>
      </w:rPr>
    </w:lvl>
    <w:lvl w:ilvl="5">
      <w:start w:val="1"/>
      <w:numFmt w:val="decimal"/>
      <w:isLgl/>
      <w:suff w:val="tab"/>
      <w:lvlText w:val="%1.%2.%3.%4.%5.%6."/>
      <w:lvlJc w:val="left"/>
      <w:pPr>
        <w:ind w:left="1440" w:hanging="1440"/>
        <w:tabs>
          <w:tab w:val="num" w:pos="1440" w:leader="none"/>
        </w:tabs>
      </w:pPr>
      <w:rPr>
        <w:rFonts w:hint="default" w:cs="Times New Roman"/>
      </w:rPr>
    </w:lvl>
    <w:lvl w:ilvl="6">
      <w:start w:val="1"/>
      <w:numFmt w:val="decimal"/>
      <w:isLgl/>
      <w:suff w:val="tab"/>
      <w:lvlText w:val="%1.%2.%3.%4.%5.%6.%7."/>
      <w:lvlJc w:val="left"/>
      <w:pPr>
        <w:ind w:left="1440" w:hanging="1440"/>
        <w:tabs>
          <w:tab w:val="num" w:pos="1440" w:leader="none"/>
        </w:tabs>
      </w:pPr>
      <w:rPr>
        <w:rFonts w:hint="default" w:cs="Times New Roman"/>
      </w:rPr>
    </w:lvl>
    <w:lvl w:ilvl="7">
      <w:start w:val="1"/>
      <w:numFmt w:val="decimal"/>
      <w:isLgl/>
      <w:suff w:val="tab"/>
      <w:lvlText w:val="%1.%2.%3.%4.%5.%6.%7.%8."/>
      <w:lvlJc w:val="left"/>
      <w:pPr>
        <w:ind w:left="1800" w:hanging="1800"/>
        <w:tabs>
          <w:tab w:val="num" w:pos="1800" w:leader="none"/>
        </w:tabs>
      </w:pPr>
      <w:rPr>
        <w:rFonts w:hint="default" w:cs="Times New Roman"/>
      </w:rPr>
    </w:lvl>
    <w:lvl w:ilvl="8">
      <w:start w:val="1"/>
      <w:numFmt w:val="decimal"/>
      <w:isLgl/>
      <w:suff w:val="tab"/>
      <w:lvlText w:val="%1.%2.%3.%4.%5.%6.%7.%8.%9."/>
      <w:lvlJc w:val="left"/>
      <w:pPr>
        <w:ind w:left="1800" w:hanging="1800"/>
        <w:tabs>
          <w:tab w:val="num" w:pos="1800" w:leader="none"/>
        </w:tabs>
      </w:pPr>
      <w:rPr>
        <w:rFonts w:hint="default" w:cs="Times New Roman"/>
      </w:rPr>
    </w:lvl>
  </w:abstractNum>
  <w:abstractNum w:abstractNumId="3">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440" w:hanging="360"/>
        <w:tabs>
          <w:tab w:val="num" w:pos="1440" w:leader="none"/>
        </w:tabs>
      </w:pPr>
      <w:rPr>
        <w:rFonts w:hint="default"/>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pStyle w:val="1034"/>
      <w:isLgl w:val="false"/>
      <w:suff w:val="tab"/>
      <w:lvlText w:val="%1."/>
      <w:lvlJc w:val="left"/>
      <w:pPr>
        <w:ind w:left="993" w:firstLine="709"/>
        <w:tabs>
          <w:tab w:val="num" w:pos="2127" w:leader="none"/>
        </w:tabs>
      </w:pPr>
      <w:rPr>
        <w:rFonts w:ascii="Times New Roman" w:hAnsi="Times New Roman" w:eastAsia="Times New Roman" w:cs="Times New Roman"/>
      </w:rPr>
    </w:lvl>
    <w:lvl w:ilvl="1">
      <w:start w:val="1"/>
      <w:numFmt w:val="decimal"/>
      <w:pStyle w:val="1035"/>
      <w:isLgl w:val="false"/>
      <w:suff w:val="tab"/>
      <w:lvlText w:val="%1.%2."/>
      <w:lvlJc w:val="left"/>
      <w:pPr>
        <w:ind w:left="284" w:firstLine="709"/>
        <w:tabs>
          <w:tab w:val="num" w:pos="1560" w:leader="none"/>
        </w:tabs>
      </w:pPr>
      <w:rPr>
        <w:rFonts w:hint="default"/>
      </w:rPr>
    </w:lvl>
    <w:lvl w:ilvl="2">
      <w:start w:val="1"/>
      <w:numFmt w:val="decimal"/>
      <w:pStyle w:val="1036"/>
      <w:isLgl w:val="false"/>
      <w:suff w:val="tab"/>
      <w:lvlText w:val="%1.%2.%3."/>
      <w:lvlJc w:val="left"/>
      <w:pPr>
        <w:ind w:left="993" w:firstLine="709"/>
        <w:tabs>
          <w:tab w:val="num" w:pos="2411" w:leader="none"/>
        </w:tabs>
      </w:pPr>
      <w:rPr>
        <w:rFonts w:hint="default"/>
      </w:rPr>
    </w:lvl>
    <w:lvl w:ilvl="3">
      <w:start w:val="1"/>
      <w:numFmt w:val="decimal"/>
      <w:isLgl w:val="false"/>
      <w:suff w:val="tab"/>
      <w:lvlText w:val="%1.%2.%3.%4."/>
      <w:lvlJc w:val="left"/>
      <w:pPr>
        <w:ind w:left="3430" w:hanging="648"/>
        <w:tabs>
          <w:tab w:val="num" w:pos="3862" w:leader="none"/>
        </w:tabs>
      </w:pPr>
      <w:rPr>
        <w:rFonts w:hint="default"/>
      </w:rPr>
    </w:lvl>
    <w:lvl w:ilvl="4">
      <w:start w:val="1"/>
      <w:numFmt w:val="decimal"/>
      <w:isLgl w:val="false"/>
      <w:suff w:val="tab"/>
      <w:lvlText w:val="%1.%2.%3.%4.%5."/>
      <w:lvlJc w:val="left"/>
      <w:pPr>
        <w:ind w:left="3934" w:hanging="792"/>
        <w:tabs>
          <w:tab w:val="num" w:pos="4222" w:leader="none"/>
        </w:tabs>
      </w:pPr>
      <w:rPr>
        <w:rFonts w:hint="default"/>
      </w:rPr>
    </w:lvl>
    <w:lvl w:ilvl="5">
      <w:start w:val="1"/>
      <w:numFmt w:val="decimal"/>
      <w:isLgl w:val="false"/>
      <w:suff w:val="tab"/>
      <w:lvlText w:val="%1.%2.%3.%4.%5.%6."/>
      <w:lvlJc w:val="left"/>
      <w:pPr>
        <w:ind w:left="4438" w:hanging="936"/>
        <w:tabs>
          <w:tab w:val="num" w:pos="4942" w:leader="none"/>
        </w:tabs>
      </w:pPr>
      <w:rPr>
        <w:rFonts w:hint="default"/>
      </w:rPr>
    </w:lvl>
    <w:lvl w:ilvl="6">
      <w:start w:val="1"/>
      <w:numFmt w:val="decimal"/>
      <w:isLgl w:val="false"/>
      <w:suff w:val="tab"/>
      <w:lvlText w:val="%1.%2.%3.%4.%5.%6.%7."/>
      <w:lvlJc w:val="left"/>
      <w:pPr>
        <w:ind w:left="4942" w:hanging="1080"/>
        <w:tabs>
          <w:tab w:val="num" w:pos="5302" w:leader="none"/>
        </w:tabs>
      </w:pPr>
      <w:rPr>
        <w:rFonts w:hint="default"/>
      </w:rPr>
    </w:lvl>
    <w:lvl w:ilvl="7">
      <w:start w:val="1"/>
      <w:numFmt w:val="decimal"/>
      <w:isLgl w:val="false"/>
      <w:suff w:val="tab"/>
      <w:lvlText w:val="%1.%2.%3.%4.%5.%6.%7.%8."/>
      <w:lvlJc w:val="left"/>
      <w:pPr>
        <w:ind w:left="5446" w:hanging="1224"/>
        <w:tabs>
          <w:tab w:val="num" w:pos="6022" w:leader="none"/>
        </w:tabs>
      </w:pPr>
      <w:rPr>
        <w:rFonts w:hint="default"/>
      </w:rPr>
    </w:lvl>
    <w:lvl w:ilvl="8">
      <w:start w:val="1"/>
      <w:numFmt w:val="decimal"/>
      <w:isLgl w:val="false"/>
      <w:suff w:val="tab"/>
      <w:lvlText w:val="%1.%2.%3.%4.%5.%6.%7.%8.%9."/>
      <w:lvlJc w:val="left"/>
      <w:pPr>
        <w:ind w:left="6022" w:hanging="1440"/>
        <w:tabs>
          <w:tab w:val="num" w:pos="6382" w:leader="none"/>
        </w:tabs>
      </w:pPr>
      <w:rPr>
        <w:rFonts w:hint="default"/>
      </w:rPr>
    </w:lvl>
  </w:abstractNum>
  <w:abstractNum w:abstractNumId="5">
    <w:multiLevelType w:val="hybridMultilevel"/>
    <w:lvl w:ilvl="0">
      <w:start w:val="8"/>
      <w:numFmt w:val="decimal"/>
      <w:isLgl w:val="false"/>
      <w:suff w:val="tab"/>
      <w:lvlText w:val="%1."/>
      <w:lvlJc w:val="left"/>
      <w:pPr>
        <w:ind w:left="360" w:hanging="360"/>
      </w:pPr>
      <w:rPr>
        <w:rFonts w:hint="default"/>
        <w:color w:val="000000"/>
      </w:rPr>
    </w:lvl>
    <w:lvl w:ilvl="1">
      <w:start w:val="1"/>
      <w:numFmt w:val="decimal"/>
      <w:isLgl w:val="false"/>
      <w:suff w:val="tab"/>
      <w:lvlText w:val="%1.%2."/>
      <w:lvlJc w:val="left"/>
      <w:pPr>
        <w:ind w:left="360" w:hanging="360"/>
      </w:pPr>
      <w:rPr>
        <w:rFonts w:hint="default"/>
        <w:color w:val="000000"/>
      </w:rPr>
    </w:lvl>
    <w:lvl w:ilvl="2">
      <w:start w:val="1"/>
      <w:numFmt w:val="decimal"/>
      <w:isLgl w:val="false"/>
      <w:suff w:val="tab"/>
      <w:lvlText w:val="%1.%2.%3."/>
      <w:lvlJc w:val="left"/>
      <w:pPr>
        <w:ind w:left="720" w:hanging="720"/>
      </w:pPr>
      <w:rPr>
        <w:rFonts w:hint="default"/>
        <w:color w:val="000000"/>
      </w:rPr>
    </w:lvl>
    <w:lvl w:ilvl="3">
      <w:start w:val="1"/>
      <w:numFmt w:val="decimal"/>
      <w:isLgl w:val="false"/>
      <w:suff w:val="tab"/>
      <w:lvlText w:val="%1.%2.%3.%4."/>
      <w:lvlJc w:val="left"/>
      <w:pPr>
        <w:ind w:left="720" w:hanging="720"/>
      </w:pPr>
      <w:rPr>
        <w:rFonts w:hint="default"/>
        <w:color w:val="000000"/>
      </w:rPr>
    </w:lvl>
    <w:lvl w:ilvl="4">
      <w:start w:val="1"/>
      <w:numFmt w:val="decimal"/>
      <w:isLgl w:val="false"/>
      <w:suff w:val="tab"/>
      <w:lvlText w:val="%1.%2.%3.%4.%5."/>
      <w:lvlJc w:val="left"/>
      <w:pPr>
        <w:ind w:left="1080" w:hanging="1080"/>
      </w:pPr>
      <w:rPr>
        <w:rFonts w:hint="default"/>
        <w:color w:val="000000"/>
      </w:rPr>
    </w:lvl>
    <w:lvl w:ilvl="5">
      <w:start w:val="1"/>
      <w:numFmt w:val="decimal"/>
      <w:isLgl w:val="false"/>
      <w:suff w:val="tab"/>
      <w:lvlText w:val="%1.%2.%3.%4.%5.%6."/>
      <w:lvlJc w:val="left"/>
      <w:pPr>
        <w:ind w:left="1080" w:hanging="1080"/>
      </w:pPr>
      <w:rPr>
        <w:rFonts w:hint="default"/>
        <w:color w:val="000000"/>
      </w:rPr>
    </w:lvl>
    <w:lvl w:ilvl="6">
      <w:start w:val="1"/>
      <w:numFmt w:val="decimal"/>
      <w:isLgl w:val="false"/>
      <w:suff w:val="tab"/>
      <w:lvlText w:val="%1.%2.%3.%4.%5.%6.%7."/>
      <w:lvlJc w:val="left"/>
      <w:pPr>
        <w:ind w:left="1440" w:hanging="1440"/>
      </w:pPr>
      <w:rPr>
        <w:rFonts w:hint="default"/>
        <w:color w:val="000000"/>
      </w:rPr>
    </w:lvl>
    <w:lvl w:ilvl="7">
      <w:start w:val="1"/>
      <w:numFmt w:val="decimal"/>
      <w:isLgl w:val="false"/>
      <w:suff w:val="tab"/>
      <w:lvlText w:val="%1.%2.%3.%4.%5.%6.%7.%8."/>
      <w:lvlJc w:val="left"/>
      <w:pPr>
        <w:ind w:left="1440" w:hanging="1440"/>
      </w:pPr>
      <w:rPr>
        <w:rFonts w:hint="default"/>
        <w:color w:val="000000"/>
      </w:rPr>
    </w:lvl>
    <w:lvl w:ilvl="8">
      <w:start w:val="1"/>
      <w:numFmt w:val="decimal"/>
      <w:isLgl w:val="false"/>
      <w:suff w:val="tab"/>
      <w:lvlText w:val="%1.%2.%3.%4.%5.%6.%7.%8.%9."/>
      <w:lvlJc w:val="left"/>
      <w:pPr>
        <w:ind w:left="1800" w:hanging="1800"/>
      </w:pPr>
      <w:rPr>
        <w:rFonts w:hint="default"/>
        <w:color w:val="000000"/>
      </w:rPr>
    </w:lvl>
  </w:abstractNum>
  <w:abstractNum w:abstractNumId="6">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432" w:hanging="432"/>
        <w:tabs>
          <w:tab w:val="num" w:pos="432" w:leader="none"/>
        </w:tabs>
      </w:pPr>
      <w:rPr>
        <w:rFonts w:hint="default"/>
        <w:i w:val="0"/>
        <w:color w:val="auto"/>
      </w:rPr>
    </w:lvl>
    <w:lvl w:ilvl="2">
      <w:start w:val="1"/>
      <w:numFmt w:val="decimal"/>
      <w:isLgl w:val="false"/>
      <w:suff w:val="tab"/>
      <w:lvlText w:val="%1.%2.%3."/>
      <w:lvlJc w:val="left"/>
      <w:pPr>
        <w:ind w:left="1224" w:hanging="504"/>
        <w:tabs>
          <w:tab w:val="num" w:pos="1440" w:leader="none"/>
        </w:tabs>
      </w:pPr>
      <w:rPr>
        <w:rFonts w:hint="default"/>
      </w:rPr>
    </w:lvl>
    <w:lvl w:ilvl="3">
      <w:start w:val="1"/>
      <w:numFmt w:val="decimal"/>
      <w:isLgl w:val="false"/>
      <w:suff w:val="tab"/>
      <w:lvlText w:val="%1.%2.%3.%4."/>
      <w:lvlJc w:val="left"/>
      <w:pPr>
        <w:ind w:left="1728" w:hanging="648"/>
        <w:tabs>
          <w:tab w:val="num" w:pos="180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8">
    <w:multiLevelType w:val="hybridMultilevel"/>
    <w:lvl w:ilvl="0">
      <w:start w:val="1"/>
      <w:numFmt w:val="decimal"/>
      <w:isLgl w:val="false"/>
      <w:suff w:val="tab"/>
      <w:lvlText w:val="%1."/>
      <w:lvlJc w:val="left"/>
      <w:pPr>
        <w:ind w:left="5889" w:hanging="360"/>
      </w:pPr>
      <w:rPr>
        <w:rFonts w:hint="default"/>
        <w:i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9">
    <w:multiLevelType w:val="hybridMultilevel"/>
    <w:lvl w:ilvl="0">
      <w:start w:val="8"/>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353" w:hanging="360"/>
        <w:tabs>
          <w:tab w:val="num" w:pos="1353" w:leader="none"/>
        </w:tabs>
      </w:pPr>
      <w:rPr>
        <w:rFonts w:hint="default"/>
        <w:b w:val="0"/>
      </w:rPr>
    </w:lvl>
    <w:lvl w:ilvl="2">
      <w:start w:val="1"/>
      <w:numFmt w:val="decimal"/>
      <w:isLgl w:val="false"/>
      <w:suff w:val="tab"/>
      <w:lvlText w:val="%1.%2.%3."/>
      <w:lvlJc w:val="left"/>
      <w:pPr>
        <w:ind w:left="2422" w:hanging="720"/>
        <w:tabs>
          <w:tab w:val="num" w:pos="2422" w:leader="none"/>
        </w:tabs>
      </w:pPr>
      <w:rPr>
        <w:rFonts w:hint="default"/>
        <w:i w:val="0"/>
        <w:sz w:val="22"/>
        <w:szCs w:val="22"/>
      </w:rPr>
    </w:lvl>
    <w:lvl w:ilvl="3">
      <w:start w:val="1"/>
      <w:numFmt w:val="decimal"/>
      <w:isLgl w:val="false"/>
      <w:suff w:val="tab"/>
      <w:lvlText w:val="%1.%2.%3.%4."/>
      <w:lvlJc w:val="left"/>
      <w:pPr>
        <w:ind w:left="2880" w:hanging="720"/>
        <w:tabs>
          <w:tab w:val="num" w:pos="2880" w:leader="none"/>
        </w:tabs>
      </w:pPr>
      <w:rPr>
        <w:rFonts w:hint="default"/>
      </w:rPr>
    </w:lvl>
    <w:lvl w:ilvl="4">
      <w:start w:val="1"/>
      <w:numFmt w:val="decimal"/>
      <w:isLgl w:val="false"/>
      <w:suff w:val="tab"/>
      <w:lvlText w:val="%1.%2.%3.%4.%5."/>
      <w:lvlJc w:val="left"/>
      <w:pPr>
        <w:ind w:left="3960" w:hanging="1080"/>
        <w:tabs>
          <w:tab w:val="num" w:pos="3960" w:leader="none"/>
        </w:tabs>
      </w:pPr>
      <w:rPr>
        <w:rFonts w:hint="default"/>
      </w:rPr>
    </w:lvl>
    <w:lvl w:ilvl="5">
      <w:start w:val="1"/>
      <w:numFmt w:val="decimal"/>
      <w:isLgl w:val="false"/>
      <w:suff w:val="tab"/>
      <w:lvlText w:val="%1.%2.%3.%4.%5.%6."/>
      <w:lvlJc w:val="left"/>
      <w:pPr>
        <w:ind w:left="4680" w:hanging="1080"/>
        <w:tabs>
          <w:tab w:val="num" w:pos="4680" w:leader="none"/>
        </w:tabs>
      </w:pPr>
      <w:rPr>
        <w:rFonts w:hint="default"/>
      </w:rPr>
    </w:lvl>
    <w:lvl w:ilvl="6">
      <w:start w:val="1"/>
      <w:numFmt w:val="decimal"/>
      <w:isLgl w:val="false"/>
      <w:suff w:val="tab"/>
      <w:lvlText w:val="%1.%2.%3.%4.%5.%6.%7."/>
      <w:lvlJc w:val="left"/>
      <w:pPr>
        <w:ind w:left="5400" w:hanging="1080"/>
        <w:tabs>
          <w:tab w:val="num" w:pos="540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200" w:hanging="1440"/>
        <w:tabs>
          <w:tab w:val="num" w:pos="7200" w:leader="none"/>
        </w:tabs>
      </w:pPr>
      <w:rPr>
        <w:rFonts w:hint="default"/>
      </w:rPr>
    </w:lvl>
  </w:abstractNum>
  <w:num w:numId="1">
    <w:abstractNumId w:val="7"/>
  </w:num>
  <w:num w:numId="2">
    <w:abstractNumId w:val="5"/>
  </w:num>
  <w:num w:numId="3">
    <w:abstractNumId w:val="3"/>
  </w:num>
  <w:num w:numId="4">
    <w:abstractNumId w:val="6"/>
  </w:num>
  <w:num w:numId="5">
    <w:abstractNumId w:val="8"/>
  </w:num>
  <w:num w:numId="6">
    <w:abstractNumId w:val="2"/>
  </w:num>
  <w:num w:numId="7">
    <w:abstractNumId w:val="0"/>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14">
    <w:name w:val="Heading 1 Char"/>
    <w:basedOn w:val="835"/>
    <w:link w:val="826"/>
    <w:uiPriority w:val="9"/>
    <w:rPr>
      <w:rFonts w:ascii="Arial" w:hAnsi="Arial" w:eastAsia="Arial" w:cs="Arial"/>
      <w:sz w:val="40"/>
      <w:szCs w:val="40"/>
    </w:rPr>
  </w:style>
  <w:style w:type="character" w:styleId="815">
    <w:name w:val="Heading 3 Char"/>
    <w:basedOn w:val="835"/>
    <w:link w:val="828"/>
    <w:uiPriority w:val="9"/>
    <w:rPr>
      <w:rFonts w:ascii="Arial" w:hAnsi="Arial" w:eastAsia="Arial" w:cs="Arial"/>
      <w:sz w:val="30"/>
      <w:szCs w:val="30"/>
    </w:rPr>
  </w:style>
  <w:style w:type="character" w:styleId="816">
    <w:name w:val="Heading 4 Char"/>
    <w:basedOn w:val="835"/>
    <w:link w:val="829"/>
    <w:uiPriority w:val="9"/>
    <w:rPr>
      <w:rFonts w:ascii="Arial" w:hAnsi="Arial" w:eastAsia="Arial" w:cs="Arial"/>
      <w:b/>
      <w:bCs/>
      <w:sz w:val="26"/>
      <w:szCs w:val="26"/>
    </w:rPr>
  </w:style>
  <w:style w:type="character" w:styleId="817">
    <w:name w:val="Heading 6 Char"/>
    <w:basedOn w:val="835"/>
    <w:link w:val="831"/>
    <w:uiPriority w:val="9"/>
    <w:rPr>
      <w:rFonts w:ascii="Arial" w:hAnsi="Arial" w:eastAsia="Arial" w:cs="Arial"/>
      <w:b/>
      <w:bCs/>
      <w:sz w:val="22"/>
      <w:szCs w:val="22"/>
    </w:rPr>
  </w:style>
  <w:style w:type="character" w:styleId="818">
    <w:name w:val="Heading 7 Char"/>
    <w:basedOn w:val="835"/>
    <w:link w:val="832"/>
    <w:uiPriority w:val="9"/>
    <w:rPr>
      <w:rFonts w:ascii="Arial" w:hAnsi="Arial" w:eastAsia="Arial" w:cs="Arial"/>
      <w:b/>
      <w:bCs/>
      <w:i/>
      <w:iCs/>
      <w:sz w:val="22"/>
      <w:szCs w:val="22"/>
    </w:rPr>
  </w:style>
  <w:style w:type="character" w:styleId="819">
    <w:name w:val="Heading 8 Char"/>
    <w:basedOn w:val="835"/>
    <w:link w:val="833"/>
    <w:uiPriority w:val="9"/>
    <w:rPr>
      <w:rFonts w:ascii="Arial" w:hAnsi="Arial" w:eastAsia="Arial" w:cs="Arial"/>
      <w:i/>
      <w:iCs/>
      <w:sz w:val="22"/>
      <w:szCs w:val="22"/>
    </w:rPr>
  </w:style>
  <w:style w:type="character" w:styleId="820">
    <w:name w:val="Heading 9 Char"/>
    <w:basedOn w:val="835"/>
    <w:link w:val="834"/>
    <w:uiPriority w:val="9"/>
    <w:rPr>
      <w:rFonts w:ascii="Arial" w:hAnsi="Arial" w:eastAsia="Arial" w:cs="Arial"/>
      <w:i/>
      <w:iCs/>
      <w:sz w:val="21"/>
      <w:szCs w:val="21"/>
    </w:rPr>
  </w:style>
  <w:style w:type="character" w:styleId="821">
    <w:name w:val="Subtitle Char"/>
    <w:basedOn w:val="835"/>
    <w:link w:val="849"/>
    <w:uiPriority w:val="11"/>
    <w:rPr>
      <w:sz w:val="24"/>
      <w:szCs w:val="24"/>
    </w:rPr>
  </w:style>
  <w:style w:type="character" w:styleId="822">
    <w:name w:val="Quote Char"/>
    <w:link w:val="851"/>
    <w:uiPriority w:val="29"/>
    <w:rPr>
      <w:i/>
    </w:rPr>
  </w:style>
  <w:style w:type="character" w:styleId="823">
    <w:name w:val="Intense Quote Char"/>
    <w:link w:val="853"/>
    <w:uiPriority w:val="30"/>
    <w:rPr>
      <w:i/>
    </w:rPr>
  </w:style>
  <w:style w:type="character" w:styleId="824">
    <w:name w:val="Footnote Text Char"/>
    <w:link w:val="985"/>
    <w:uiPriority w:val="99"/>
    <w:rPr>
      <w:sz w:val="18"/>
    </w:rPr>
  </w:style>
  <w:style w:type="paragraph" w:styleId="825" w:default="1">
    <w:name w:val="Normal"/>
    <w:qFormat/>
    <w:rPr>
      <w:rFonts w:eastAsia="Times New Roman"/>
      <w:sz w:val="24"/>
      <w:szCs w:val="24"/>
    </w:rPr>
  </w:style>
  <w:style w:type="paragraph" w:styleId="826">
    <w:name w:val="Heading 1"/>
    <w:basedOn w:val="825"/>
    <w:next w:val="825"/>
    <w:link w:val="838"/>
    <w:uiPriority w:val="9"/>
    <w:qFormat/>
    <w:pPr>
      <w:keepLines/>
      <w:keepNext/>
      <w:spacing w:before="480" w:after="200"/>
      <w:outlineLvl w:val="0"/>
    </w:pPr>
    <w:rPr>
      <w:rFonts w:ascii="Arial" w:hAnsi="Arial" w:eastAsia="Arial" w:cs="Arial"/>
      <w:sz w:val="40"/>
      <w:szCs w:val="40"/>
    </w:rPr>
  </w:style>
  <w:style w:type="paragraph" w:styleId="827">
    <w:name w:val="Heading 2"/>
    <w:basedOn w:val="825"/>
    <w:next w:val="825"/>
    <w:link w:val="1000"/>
    <w:qFormat/>
    <w:pPr>
      <w:keepNext/>
      <w:spacing w:before="240" w:after="60"/>
      <w:outlineLvl w:val="1"/>
    </w:pPr>
    <w:rPr>
      <w:rFonts w:ascii="Arial" w:hAnsi="Arial"/>
      <w:b/>
      <w:bCs/>
      <w:i/>
      <w:iCs/>
      <w:sz w:val="28"/>
      <w:szCs w:val="28"/>
    </w:rPr>
  </w:style>
  <w:style w:type="paragraph" w:styleId="828">
    <w:name w:val="Heading 3"/>
    <w:basedOn w:val="825"/>
    <w:next w:val="825"/>
    <w:link w:val="840"/>
    <w:uiPriority w:val="9"/>
    <w:unhideWhenUsed/>
    <w:qFormat/>
    <w:pPr>
      <w:keepLines/>
      <w:keepNext/>
      <w:spacing w:before="320" w:after="200"/>
      <w:outlineLvl w:val="2"/>
    </w:pPr>
    <w:rPr>
      <w:rFonts w:ascii="Arial" w:hAnsi="Arial" w:eastAsia="Arial" w:cs="Arial"/>
      <w:sz w:val="30"/>
      <w:szCs w:val="30"/>
    </w:rPr>
  </w:style>
  <w:style w:type="paragraph" w:styleId="829">
    <w:name w:val="Heading 4"/>
    <w:basedOn w:val="825"/>
    <w:next w:val="825"/>
    <w:link w:val="841"/>
    <w:uiPriority w:val="9"/>
    <w:unhideWhenUsed/>
    <w:qFormat/>
    <w:pPr>
      <w:keepLines/>
      <w:keepNext/>
      <w:spacing w:before="320" w:after="200"/>
      <w:outlineLvl w:val="3"/>
    </w:pPr>
    <w:rPr>
      <w:rFonts w:ascii="Arial" w:hAnsi="Arial" w:eastAsia="Arial" w:cs="Arial"/>
      <w:b/>
      <w:bCs/>
      <w:sz w:val="26"/>
      <w:szCs w:val="26"/>
    </w:rPr>
  </w:style>
  <w:style w:type="paragraph" w:styleId="830">
    <w:name w:val="Heading 5"/>
    <w:basedOn w:val="825"/>
    <w:next w:val="825"/>
    <w:link w:val="1017"/>
    <w:uiPriority w:val="9"/>
    <w:qFormat/>
    <w:pPr>
      <w:keepLines/>
      <w:keepNext/>
      <w:spacing w:before="200"/>
      <w:outlineLvl w:val="4"/>
    </w:pPr>
    <w:rPr>
      <w:rFonts w:ascii="Cambria" w:hAnsi="Cambria"/>
      <w:color w:val="243f60"/>
      <w:sz w:val="20"/>
    </w:rPr>
  </w:style>
  <w:style w:type="paragraph" w:styleId="831">
    <w:name w:val="Heading 6"/>
    <w:basedOn w:val="825"/>
    <w:next w:val="825"/>
    <w:link w:val="843"/>
    <w:uiPriority w:val="9"/>
    <w:unhideWhenUsed/>
    <w:qFormat/>
    <w:pPr>
      <w:keepLines/>
      <w:keepNext/>
      <w:spacing w:before="320" w:after="200"/>
      <w:outlineLvl w:val="5"/>
    </w:pPr>
    <w:rPr>
      <w:rFonts w:ascii="Arial" w:hAnsi="Arial" w:eastAsia="Arial" w:cs="Arial"/>
      <w:b/>
      <w:bCs/>
      <w:sz w:val="22"/>
      <w:szCs w:val="22"/>
    </w:rPr>
  </w:style>
  <w:style w:type="paragraph" w:styleId="832">
    <w:name w:val="Heading 7"/>
    <w:basedOn w:val="825"/>
    <w:next w:val="825"/>
    <w:link w:val="844"/>
    <w:uiPriority w:val="9"/>
    <w:unhideWhenUsed/>
    <w:qFormat/>
    <w:pPr>
      <w:keepLines/>
      <w:keepNext/>
      <w:spacing w:before="320" w:after="200"/>
      <w:outlineLvl w:val="6"/>
    </w:pPr>
    <w:rPr>
      <w:rFonts w:ascii="Arial" w:hAnsi="Arial" w:eastAsia="Arial" w:cs="Arial"/>
      <w:b/>
      <w:bCs/>
      <w:i/>
      <w:iCs/>
      <w:sz w:val="22"/>
      <w:szCs w:val="22"/>
    </w:rPr>
  </w:style>
  <w:style w:type="paragraph" w:styleId="833">
    <w:name w:val="Heading 8"/>
    <w:basedOn w:val="825"/>
    <w:next w:val="825"/>
    <w:link w:val="845"/>
    <w:uiPriority w:val="9"/>
    <w:unhideWhenUsed/>
    <w:qFormat/>
    <w:pPr>
      <w:keepLines/>
      <w:keepNext/>
      <w:spacing w:before="320" w:after="200"/>
      <w:outlineLvl w:val="7"/>
    </w:pPr>
    <w:rPr>
      <w:rFonts w:ascii="Arial" w:hAnsi="Arial" w:eastAsia="Arial" w:cs="Arial"/>
      <w:i/>
      <w:iCs/>
      <w:sz w:val="22"/>
      <w:szCs w:val="22"/>
    </w:rPr>
  </w:style>
  <w:style w:type="paragraph" w:styleId="834">
    <w:name w:val="Heading 9"/>
    <w:basedOn w:val="825"/>
    <w:next w:val="825"/>
    <w:link w:val="846"/>
    <w:uiPriority w:val="9"/>
    <w:unhideWhenUsed/>
    <w:qFormat/>
    <w:pPr>
      <w:keepLines/>
      <w:keepNext/>
      <w:spacing w:before="320" w:after="200"/>
      <w:outlineLvl w:val="8"/>
    </w:pPr>
    <w:rPr>
      <w:rFonts w:ascii="Arial" w:hAnsi="Arial" w:eastAsia="Arial" w:cs="Arial"/>
      <w:i/>
      <w:iCs/>
      <w:sz w:val="21"/>
      <w:szCs w:val="21"/>
    </w:rPr>
  </w:style>
  <w:style w:type="character" w:styleId="835" w:default="1">
    <w:name w:val="Default Paragraph Font"/>
    <w:uiPriority w:val="1"/>
    <w:semiHidden/>
    <w:unhideWhenUsed/>
  </w:style>
  <w:style w:type="table" w:styleId="836" w:default="1">
    <w:name w:val="Normal Table"/>
    <w:uiPriority w:val="99"/>
    <w:semiHidden/>
    <w:unhideWhenUsed/>
    <w:tblPr>
      <w:tblInd w:w="0" w:type="dxa"/>
      <w:tblCellMar>
        <w:left w:w="108" w:type="dxa"/>
        <w:top w:w="0" w:type="dxa"/>
        <w:right w:w="108" w:type="dxa"/>
        <w:bottom w:w="0" w:type="dxa"/>
      </w:tblCellMar>
    </w:tblPr>
  </w:style>
  <w:style w:type="numbering" w:styleId="837" w:default="1">
    <w:name w:val="No List"/>
    <w:uiPriority w:val="99"/>
    <w:semiHidden/>
    <w:unhideWhenUsed/>
  </w:style>
  <w:style w:type="character" w:styleId="838" w:customStyle="1">
    <w:name w:val="Заголовок 1 Знак"/>
    <w:basedOn w:val="835"/>
    <w:link w:val="826"/>
    <w:uiPriority w:val="9"/>
    <w:rPr>
      <w:rFonts w:ascii="Arial" w:hAnsi="Arial" w:eastAsia="Arial" w:cs="Arial"/>
      <w:sz w:val="40"/>
      <w:szCs w:val="40"/>
    </w:rPr>
  </w:style>
  <w:style w:type="character" w:styleId="839" w:customStyle="1">
    <w:name w:val="Heading 2 Char"/>
    <w:basedOn w:val="835"/>
    <w:uiPriority w:val="9"/>
    <w:rPr>
      <w:rFonts w:ascii="Arial" w:hAnsi="Arial" w:eastAsia="Arial" w:cs="Arial"/>
      <w:sz w:val="34"/>
    </w:rPr>
  </w:style>
  <w:style w:type="character" w:styleId="840" w:customStyle="1">
    <w:name w:val="Заголовок 3 Знак"/>
    <w:basedOn w:val="835"/>
    <w:link w:val="828"/>
    <w:uiPriority w:val="9"/>
    <w:rPr>
      <w:rFonts w:ascii="Arial" w:hAnsi="Arial" w:eastAsia="Arial" w:cs="Arial"/>
      <w:sz w:val="30"/>
      <w:szCs w:val="30"/>
    </w:rPr>
  </w:style>
  <w:style w:type="character" w:styleId="841" w:customStyle="1">
    <w:name w:val="Заголовок 4 Знак"/>
    <w:basedOn w:val="835"/>
    <w:link w:val="829"/>
    <w:uiPriority w:val="9"/>
    <w:rPr>
      <w:rFonts w:ascii="Arial" w:hAnsi="Arial" w:eastAsia="Arial" w:cs="Arial"/>
      <w:b/>
      <w:bCs/>
      <w:sz w:val="26"/>
      <w:szCs w:val="26"/>
    </w:rPr>
  </w:style>
  <w:style w:type="character" w:styleId="842" w:customStyle="1">
    <w:name w:val="Heading 5 Char"/>
    <w:basedOn w:val="835"/>
    <w:uiPriority w:val="9"/>
    <w:rPr>
      <w:rFonts w:ascii="Arial" w:hAnsi="Arial" w:eastAsia="Arial" w:cs="Arial"/>
      <w:b/>
      <w:bCs/>
      <w:sz w:val="24"/>
      <w:szCs w:val="24"/>
    </w:rPr>
  </w:style>
  <w:style w:type="character" w:styleId="843" w:customStyle="1">
    <w:name w:val="Заголовок 6 Знак"/>
    <w:basedOn w:val="835"/>
    <w:link w:val="831"/>
    <w:uiPriority w:val="9"/>
    <w:rPr>
      <w:rFonts w:ascii="Arial" w:hAnsi="Arial" w:eastAsia="Arial" w:cs="Arial"/>
      <w:b/>
      <w:bCs/>
      <w:sz w:val="22"/>
      <w:szCs w:val="22"/>
    </w:rPr>
  </w:style>
  <w:style w:type="character" w:styleId="844" w:customStyle="1">
    <w:name w:val="Заголовок 7 Знак"/>
    <w:basedOn w:val="835"/>
    <w:link w:val="832"/>
    <w:uiPriority w:val="9"/>
    <w:rPr>
      <w:rFonts w:ascii="Arial" w:hAnsi="Arial" w:eastAsia="Arial" w:cs="Arial"/>
      <w:b/>
      <w:bCs/>
      <w:i/>
      <w:iCs/>
      <w:sz w:val="22"/>
      <w:szCs w:val="22"/>
    </w:rPr>
  </w:style>
  <w:style w:type="character" w:styleId="845" w:customStyle="1">
    <w:name w:val="Заголовок 8 Знак"/>
    <w:basedOn w:val="835"/>
    <w:link w:val="833"/>
    <w:uiPriority w:val="9"/>
    <w:rPr>
      <w:rFonts w:ascii="Arial" w:hAnsi="Arial" w:eastAsia="Arial" w:cs="Arial"/>
      <w:i/>
      <w:iCs/>
      <w:sz w:val="22"/>
      <w:szCs w:val="22"/>
    </w:rPr>
  </w:style>
  <w:style w:type="character" w:styleId="846" w:customStyle="1">
    <w:name w:val="Заголовок 9 Знак"/>
    <w:basedOn w:val="835"/>
    <w:link w:val="834"/>
    <w:uiPriority w:val="9"/>
    <w:rPr>
      <w:rFonts w:ascii="Arial" w:hAnsi="Arial" w:eastAsia="Arial" w:cs="Arial"/>
      <w:i/>
      <w:iCs/>
      <w:sz w:val="21"/>
      <w:szCs w:val="21"/>
    </w:rPr>
  </w:style>
  <w:style w:type="paragraph" w:styleId="847">
    <w:name w:val="No Spacing"/>
    <w:uiPriority w:val="1"/>
    <w:qFormat/>
  </w:style>
  <w:style w:type="character" w:styleId="848" w:customStyle="1">
    <w:name w:val="Title Char"/>
    <w:basedOn w:val="835"/>
    <w:uiPriority w:val="10"/>
    <w:rPr>
      <w:sz w:val="48"/>
      <w:szCs w:val="48"/>
    </w:rPr>
  </w:style>
  <w:style w:type="paragraph" w:styleId="849">
    <w:name w:val="Subtitle"/>
    <w:basedOn w:val="825"/>
    <w:next w:val="825"/>
    <w:link w:val="850"/>
    <w:uiPriority w:val="11"/>
    <w:qFormat/>
    <w:pPr>
      <w:spacing w:before="200" w:after="200"/>
    </w:pPr>
  </w:style>
  <w:style w:type="character" w:styleId="850" w:customStyle="1">
    <w:name w:val="Подзаголовок Знак"/>
    <w:basedOn w:val="835"/>
    <w:link w:val="849"/>
    <w:uiPriority w:val="11"/>
    <w:rPr>
      <w:sz w:val="24"/>
      <w:szCs w:val="24"/>
    </w:rPr>
  </w:style>
  <w:style w:type="paragraph" w:styleId="851">
    <w:name w:val="Quote"/>
    <w:basedOn w:val="825"/>
    <w:next w:val="825"/>
    <w:link w:val="852"/>
    <w:uiPriority w:val="29"/>
    <w:qFormat/>
    <w:pPr>
      <w:ind w:left="720" w:right="720"/>
    </w:pPr>
    <w:rPr>
      <w:i/>
    </w:rPr>
  </w:style>
  <w:style w:type="character" w:styleId="852" w:customStyle="1">
    <w:name w:val="Цитата 2 Знак"/>
    <w:link w:val="851"/>
    <w:uiPriority w:val="29"/>
    <w:rPr>
      <w:i/>
    </w:rPr>
  </w:style>
  <w:style w:type="paragraph" w:styleId="853">
    <w:name w:val="Intense Quote"/>
    <w:basedOn w:val="825"/>
    <w:next w:val="825"/>
    <w:link w:val="85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54" w:customStyle="1">
    <w:name w:val="Выделенная цитата Знак"/>
    <w:link w:val="853"/>
    <w:uiPriority w:val="30"/>
    <w:rPr>
      <w:i/>
    </w:rPr>
  </w:style>
  <w:style w:type="character" w:styleId="855" w:customStyle="1">
    <w:name w:val="Header Char"/>
    <w:basedOn w:val="835"/>
    <w:uiPriority w:val="99"/>
  </w:style>
  <w:style w:type="character" w:styleId="856" w:customStyle="1">
    <w:name w:val="Footer Char"/>
    <w:basedOn w:val="835"/>
    <w:uiPriority w:val="99"/>
  </w:style>
  <w:style w:type="paragraph" w:styleId="857">
    <w:name w:val="Caption"/>
    <w:basedOn w:val="825"/>
    <w:next w:val="825"/>
    <w:link w:val="858"/>
    <w:uiPriority w:val="35"/>
    <w:semiHidden/>
    <w:unhideWhenUsed/>
    <w:qFormat/>
    <w:pPr>
      <w:spacing w:line="276" w:lineRule="auto"/>
    </w:pPr>
    <w:rPr>
      <w:b/>
      <w:bCs/>
      <w:color w:val="5b9bd5" w:themeColor="accent1"/>
      <w:sz w:val="18"/>
      <w:szCs w:val="18"/>
    </w:rPr>
  </w:style>
  <w:style w:type="character" w:styleId="858" w:customStyle="1">
    <w:name w:val="Caption Char"/>
    <w:uiPriority w:val="99"/>
  </w:style>
  <w:style w:type="table" w:styleId="859">
    <w:name w:val="Table Grid"/>
    <w:basedOn w:val="836"/>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860" w:customStyle="1">
    <w:name w:val="Table Grid Light"/>
    <w:basedOn w:val="836"/>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61">
    <w:name w:val="Plain Table 1"/>
    <w:basedOn w:val="836"/>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62">
    <w:name w:val="Plain Table 2"/>
    <w:basedOn w:val="836"/>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63">
    <w:name w:val="Plain Table 3"/>
    <w:basedOn w:val="836"/>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64">
    <w:name w:val="Plain Table 4"/>
    <w:basedOn w:val="836"/>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65">
    <w:name w:val="Plain Table 5"/>
    <w:basedOn w:val="836"/>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66">
    <w:name w:val="Grid Table 1 Light"/>
    <w:basedOn w:val="836"/>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67" w:customStyle="1">
    <w:name w:val="Grid Table 1 Light - Accent 1"/>
    <w:basedOn w:val="836"/>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68" w:customStyle="1">
    <w:name w:val="Grid Table 1 Light - Accent 2"/>
    <w:basedOn w:val="836"/>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69" w:customStyle="1">
    <w:name w:val="Grid Table 1 Light - Accent 3"/>
    <w:basedOn w:val="836"/>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70" w:customStyle="1">
    <w:name w:val="Grid Table 1 Light - Accent 4"/>
    <w:basedOn w:val="836"/>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71" w:customStyle="1">
    <w:name w:val="Grid Table 1 Light - Accent 5"/>
    <w:basedOn w:val="836"/>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72" w:customStyle="1">
    <w:name w:val="Grid Table 1 Light - Accent 6"/>
    <w:basedOn w:val="836"/>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73">
    <w:name w:val="Grid Table 2"/>
    <w:basedOn w:val="836"/>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74" w:customStyle="1">
    <w:name w:val="Grid Table 2 - Accent 1"/>
    <w:basedOn w:val="836"/>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75" w:customStyle="1">
    <w:name w:val="Grid Table 2 - Accent 2"/>
    <w:basedOn w:val="836"/>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76" w:customStyle="1">
    <w:name w:val="Grid Table 2 - Accent 3"/>
    <w:basedOn w:val="836"/>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77" w:customStyle="1">
    <w:name w:val="Grid Table 2 - Accent 4"/>
    <w:basedOn w:val="836"/>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78" w:customStyle="1">
    <w:name w:val="Grid Table 2 - Accent 5"/>
    <w:basedOn w:val="836"/>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79" w:customStyle="1">
    <w:name w:val="Grid Table 2 - Accent 6"/>
    <w:basedOn w:val="836"/>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80">
    <w:name w:val="Grid Table 3"/>
    <w:basedOn w:val="836"/>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1" w:customStyle="1">
    <w:name w:val="Grid Table 3 - Accent 1"/>
    <w:basedOn w:val="836"/>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2" w:customStyle="1">
    <w:name w:val="Grid Table 3 - Accent 2"/>
    <w:basedOn w:val="836"/>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3" w:customStyle="1">
    <w:name w:val="Grid Table 3 - Accent 3"/>
    <w:basedOn w:val="836"/>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4" w:customStyle="1">
    <w:name w:val="Grid Table 3 - Accent 4"/>
    <w:basedOn w:val="836"/>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5" w:customStyle="1">
    <w:name w:val="Grid Table 3 - Accent 5"/>
    <w:basedOn w:val="836"/>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6" w:customStyle="1">
    <w:name w:val="Grid Table 3 - Accent 6"/>
    <w:basedOn w:val="836"/>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87">
    <w:name w:val="Grid Table 4"/>
    <w:basedOn w:val="836"/>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88" w:customStyle="1">
    <w:name w:val="Grid Table 4 - Accent 1"/>
    <w:basedOn w:val="836"/>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89" w:customStyle="1">
    <w:name w:val="Grid Table 4 - Accent 2"/>
    <w:basedOn w:val="836"/>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90" w:customStyle="1">
    <w:name w:val="Grid Table 4 - Accent 3"/>
    <w:basedOn w:val="836"/>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91" w:customStyle="1">
    <w:name w:val="Grid Table 4 - Accent 4"/>
    <w:basedOn w:val="836"/>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92" w:customStyle="1">
    <w:name w:val="Grid Table 4 - Accent 5"/>
    <w:basedOn w:val="836"/>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93" w:customStyle="1">
    <w:name w:val="Grid Table 4 - Accent 6"/>
    <w:basedOn w:val="836"/>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94">
    <w:name w:val="Grid Table 5 Dark"/>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95" w:customStyle="1">
    <w:name w:val="Grid Table 5 Dark- Accent 1"/>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96" w:customStyle="1">
    <w:name w:val="Grid Table 5 Dark - Accent 2"/>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97" w:customStyle="1">
    <w:name w:val="Grid Table 5 Dark - Accent 3"/>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98" w:customStyle="1">
    <w:name w:val="Grid Table 5 Dark- Accent 4"/>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99" w:customStyle="1">
    <w:name w:val="Grid Table 5 Dark - Accent 5"/>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900" w:customStyle="1">
    <w:name w:val="Grid Table 5 Dark - Accent 6"/>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901">
    <w:name w:val="Grid Table 6 Colorful"/>
    <w:basedOn w:val="836"/>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02" w:customStyle="1">
    <w:name w:val="Grid Table 6 Colorful - Accent 1"/>
    <w:basedOn w:val="836"/>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903" w:customStyle="1">
    <w:name w:val="Grid Table 6 Colorful - Accent 2"/>
    <w:basedOn w:val="836"/>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904" w:customStyle="1">
    <w:name w:val="Grid Table 6 Colorful - Accent 3"/>
    <w:basedOn w:val="836"/>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905" w:customStyle="1">
    <w:name w:val="Grid Table 6 Colorful - Accent 4"/>
    <w:basedOn w:val="836"/>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906" w:customStyle="1">
    <w:name w:val="Grid Table 6 Colorful - Accent 5"/>
    <w:basedOn w:val="836"/>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07" w:customStyle="1">
    <w:name w:val="Grid Table 6 Colorful - Accent 6"/>
    <w:basedOn w:val="836"/>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08">
    <w:name w:val="Grid Table 7 Colorful"/>
    <w:basedOn w:val="836"/>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09" w:customStyle="1">
    <w:name w:val="Grid Table 7 Colorful - Accent 1"/>
    <w:basedOn w:val="836"/>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910" w:customStyle="1">
    <w:name w:val="Grid Table 7 Colorful - Accent 2"/>
    <w:basedOn w:val="836"/>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11" w:customStyle="1">
    <w:name w:val="Grid Table 7 Colorful - Accent 3"/>
    <w:basedOn w:val="836"/>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912" w:customStyle="1">
    <w:name w:val="Grid Table 7 Colorful - Accent 4"/>
    <w:basedOn w:val="836"/>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13" w:customStyle="1">
    <w:name w:val="Grid Table 7 Colorful - Accent 5"/>
    <w:basedOn w:val="836"/>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914" w:customStyle="1">
    <w:name w:val="Grid Table 7 Colorful - Accent 6"/>
    <w:basedOn w:val="836"/>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915">
    <w:name w:val="List Table 1 Light"/>
    <w:basedOn w:val="836"/>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16" w:customStyle="1">
    <w:name w:val="List Table 1 Light - Accent 1"/>
    <w:basedOn w:val="836"/>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917" w:customStyle="1">
    <w:name w:val="List Table 1 Light - Accent 2"/>
    <w:basedOn w:val="836"/>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918" w:customStyle="1">
    <w:name w:val="List Table 1 Light - Accent 3"/>
    <w:basedOn w:val="836"/>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919" w:customStyle="1">
    <w:name w:val="List Table 1 Light - Accent 4"/>
    <w:basedOn w:val="836"/>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20" w:customStyle="1">
    <w:name w:val="List Table 1 Light - Accent 5"/>
    <w:basedOn w:val="836"/>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921" w:customStyle="1">
    <w:name w:val="List Table 1 Light - Accent 6"/>
    <w:basedOn w:val="836"/>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22">
    <w:name w:val="List Table 2"/>
    <w:basedOn w:val="836"/>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23" w:customStyle="1">
    <w:name w:val="List Table 2 - Accent 1"/>
    <w:basedOn w:val="836"/>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924" w:customStyle="1">
    <w:name w:val="List Table 2 - Accent 2"/>
    <w:basedOn w:val="836"/>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25" w:customStyle="1">
    <w:name w:val="List Table 2 - Accent 3"/>
    <w:basedOn w:val="836"/>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26" w:customStyle="1">
    <w:name w:val="List Table 2 - Accent 4"/>
    <w:basedOn w:val="836"/>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27" w:customStyle="1">
    <w:name w:val="List Table 2 - Accent 5"/>
    <w:basedOn w:val="836"/>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928" w:customStyle="1">
    <w:name w:val="List Table 2 - Accent 6"/>
    <w:basedOn w:val="836"/>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29">
    <w:name w:val="List Table 3"/>
    <w:basedOn w:val="836"/>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30" w:customStyle="1">
    <w:name w:val="List Table 3 - Accent 1"/>
    <w:basedOn w:val="836"/>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31" w:customStyle="1">
    <w:name w:val="List Table 3 - Accent 2"/>
    <w:basedOn w:val="836"/>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32" w:customStyle="1">
    <w:name w:val="List Table 3 - Accent 3"/>
    <w:basedOn w:val="836"/>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33" w:customStyle="1">
    <w:name w:val="List Table 3 - Accent 4"/>
    <w:basedOn w:val="836"/>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34" w:customStyle="1">
    <w:name w:val="List Table 3 - Accent 5"/>
    <w:basedOn w:val="836"/>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35" w:customStyle="1">
    <w:name w:val="List Table 3 - Accent 6"/>
    <w:basedOn w:val="836"/>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36">
    <w:name w:val="List Table 4"/>
    <w:basedOn w:val="836"/>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37" w:customStyle="1">
    <w:name w:val="List Table 4 - Accent 1"/>
    <w:basedOn w:val="836"/>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38" w:customStyle="1">
    <w:name w:val="List Table 4 - Accent 2"/>
    <w:basedOn w:val="836"/>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39" w:customStyle="1">
    <w:name w:val="List Table 4 - Accent 3"/>
    <w:basedOn w:val="836"/>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40" w:customStyle="1">
    <w:name w:val="List Table 4 - Accent 4"/>
    <w:basedOn w:val="836"/>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41" w:customStyle="1">
    <w:name w:val="List Table 4 - Accent 5"/>
    <w:basedOn w:val="836"/>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42" w:customStyle="1">
    <w:name w:val="List Table 4 - Accent 6"/>
    <w:basedOn w:val="836"/>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43">
    <w:name w:val="List Table 5 Dark"/>
    <w:basedOn w:val="836"/>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44" w:customStyle="1">
    <w:name w:val="List Table 5 Dark - Accent 1"/>
    <w:basedOn w:val="836"/>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45" w:customStyle="1">
    <w:name w:val="List Table 5 Dark - Accent 2"/>
    <w:basedOn w:val="836"/>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46" w:customStyle="1">
    <w:name w:val="List Table 5 Dark - Accent 3"/>
    <w:basedOn w:val="836"/>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47" w:customStyle="1">
    <w:name w:val="List Table 5 Dark - Accent 4"/>
    <w:basedOn w:val="836"/>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48" w:customStyle="1">
    <w:name w:val="List Table 5 Dark - Accent 5"/>
    <w:basedOn w:val="836"/>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49" w:customStyle="1">
    <w:name w:val="List Table 5 Dark - Accent 6"/>
    <w:basedOn w:val="836"/>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50">
    <w:name w:val="List Table 6 Colorful"/>
    <w:basedOn w:val="836"/>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51" w:customStyle="1">
    <w:name w:val="List Table 6 Colorful - Accent 1"/>
    <w:basedOn w:val="836"/>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52" w:customStyle="1">
    <w:name w:val="List Table 6 Colorful - Accent 2"/>
    <w:basedOn w:val="836"/>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53" w:customStyle="1">
    <w:name w:val="List Table 6 Colorful - Accent 3"/>
    <w:basedOn w:val="836"/>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54" w:customStyle="1">
    <w:name w:val="List Table 6 Colorful - Accent 4"/>
    <w:basedOn w:val="836"/>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55" w:customStyle="1">
    <w:name w:val="List Table 6 Colorful - Accent 5"/>
    <w:basedOn w:val="836"/>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56" w:customStyle="1">
    <w:name w:val="List Table 6 Colorful - Accent 6"/>
    <w:basedOn w:val="836"/>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57">
    <w:name w:val="List Table 7 Colorful"/>
    <w:basedOn w:val="836"/>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58" w:customStyle="1">
    <w:name w:val="List Table 7 Colorful - Accent 1"/>
    <w:basedOn w:val="836"/>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59" w:customStyle="1">
    <w:name w:val="List Table 7 Colorful - Accent 2"/>
    <w:basedOn w:val="836"/>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60" w:customStyle="1">
    <w:name w:val="List Table 7 Colorful - Accent 3"/>
    <w:basedOn w:val="836"/>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61" w:customStyle="1">
    <w:name w:val="List Table 7 Colorful - Accent 4"/>
    <w:basedOn w:val="836"/>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62" w:customStyle="1">
    <w:name w:val="List Table 7 Colorful - Accent 5"/>
    <w:basedOn w:val="836"/>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63" w:customStyle="1">
    <w:name w:val="List Table 7 Colorful - Accent 6"/>
    <w:basedOn w:val="836"/>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64" w:customStyle="1">
    <w:name w:val="Lined - Accent"/>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65" w:customStyle="1">
    <w:name w:val="Lined - Accent 1"/>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66" w:customStyle="1">
    <w:name w:val="Lined - Accent 2"/>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67" w:customStyle="1">
    <w:name w:val="Lined - Accent 3"/>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68" w:customStyle="1">
    <w:name w:val="Lined - Accent 4"/>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69" w:customStyle="1">
    <w:name w:val="Lined - Accent 5"/>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70" w:customStyle="1">
    <w:name w:val="Lined - Accent 6"/>
    <w:basedOn w:val="83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71" w:customStyle="1">
    <w:name w:val="Bordered &amp; Lined - Accent"/>
    <w:basedOn w:val="836"/>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72" w:customStyle="1">
    <w:name w:val="Bordered &amp; Lined - Accent 1"/>
    <w:basedOn w:val="836"/>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73" w:customStyle="1">
    <w:name w:val="Bordered &amp; Lined - Accent 2"/>
    <w:basedOn w:val="836"/>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74" w:customStyle="1">
    <w:name w:val="Bordered &amp; Lined - Accent 3"/>
    <w:basedOn w:val="836"/>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75" w:customStyle="1">
    <w:name w:val="Bordered &amp; Lined - Accent 4"/>
    <w:basedOn w:val="836"/>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76" w:customStyle="1">
    <w:name w:val="Bordered &amp; Lined - Accent 5"/>
    <w:basedOn w:val="836"/>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77" w:customStyle="1">
    <w:name w:val="Bordered &amp; Lined - Accent 6"/>
    <w:basedOn w:val="836"/>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78" w:customStyle="1">
    <w:name w:val="Bordered"/>
    <w:basedOn w:val="836"/>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79" w:customStyle="1">
    <w:name w:val="Bordered - Accent 1"/>
    <w:basedOn w:val="836"/>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80" w:customStyle="1">
    <w:name w:val="Bordered - Accent 2"/>
    <w:basedOn w:val="836"/>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81" w:customStyle="1">
    <w:name w:val="Bordered - Accent 3"/>
    <w:basedOn w:val="836"/>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82" w:customStyle="1">
    <w:name w:val="Bordered - Accent 4"/>
    <w:basedOn w:val="836"/>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83" w:customStyle="1">
    <w:name w:val="Bordered - Accent 5"/>
    <w:basedOn w:val="836"/>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84" w:customStyle="1">
    <w:name w:val="Bordered - Accent 6"/>
    <w:basedOn w:val="836"/>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paragraph" w:styleId="985">
    <w:name w:val="footnote text"/>
    <w:basedOn w:val="825"/>
    <w:link w:val="986"/>
    <w:uiPriority w:val="99"/>
    <w:semiHidden/>
    <w:unhideWhenUsed/>
    <w:pPr>
      <w:spacing w:after="40"/>
    </w:pPr>
    <w:rPr>
      <w:sz w:val="18"/>
    </w:rPr>
  </w:style>
  <w:style w:type="character" w:styleId="986" w:customStyle="1">
    <w:name w:val="Текст сноски Знак"/>
    <w:link w:val="985"/>
    <w:uiPriority w:val="99"/>
    <w:rPr>
      <w:sz w:val="18"/>
    </w:rPr>
  </w:style>
  <w:style w:type="character" w:styleId="987">
    <w:name w:val="footnote reference"/>
    <w:basedOn w:val="835"/>
    <w:uiPriority w:val="99"/>
    <w:unhideWhenUsed/>
    <w:rPr>
      <w:vertAlign w:val="superscript"/>
    </w:rPr>
  </w:style>
  <w:style w:type="character" w:styleId="988" w:customStyle="1">
    <w:name w:val="Endnote Text Char"/>
    <w:uiPriority w:val="99"/>
    <w:rPr>
      <w:sz w:val="20"/>
    </w:rPr>
  </w:style>
  <w:style w:type="paragraph" w:styleId="989">
    <w:name w:val="toc 1"/>
    <w:basedOn w:val="825"/>
    <w:next w:val="825"/>
    <w:uiPriority w:val="39"/>
    <w:unhideWhenUsed/>
    <w:pPr>
      <w:spacing w:after="57"/>
    </w:pPr>
  </w:style>
  <w:style w:type="paragraph" w:styleId="990">
    <w:name w:val="toc 2"/>
    <w:basedOn w:val="825"/>
    <w:next w:val="825"/>
    <w:uiPriority w:val="39"/>
    <w:unhideWhenUsed/>
    <w:pPr>
      <w:ind w:left="283"/>
      <w:spacing w:after="57"/>
    </w:pPr>
  </w:style>
  <w:style w:type="paragraph" w:styleId="991">
    <w:name w:val="toc 3"/>
    <w:basedOn w:val="825"/>
    <w:next w:val="825"/>
    <w:uiPriority w:val="39"/>
    <w:unhideWhenUsed/>
    <w:pPr>
      <w:ind w:left="567"/>
      <w:spacing w:after="57"/>
    </w:pPr>
  </w:style>
  <w:style w:type="paragraph" w:styleId="992">
    <w:name w:val="toc 4"/>
    <w:basedOn w:val="825"/>
    <w:next w:val="825"/>
    <w:uiPriority w:val="39"/>
    <w:unhideWhenUsed/>
    <w:pPr>
      <w:ind w:left="850"/>
      <w:spacing w:after="57"/>
    </w:pPr>
  </w:style>
  <w:style w:type="paragraph" w:styleId="993">
    <w:name w:val="toc 5"/>
    <w:basedOn w:val="825"/>
    <w:next w:val="825"/>
    <w:uiPriority w:val="39"/>
    <w:unhideWhenUsed/>
    <w:pPr>
      <w:ind w:left="1134"/>
      <w:spacing w:after="57"/>
    </w:pPr>
  </w:style>
  <w:style w:type="paragraph" w:styleId="994">
    <w:name w:val="toc 6"/>
    <w:basedOn w:val="825"/>
    <w:next w:val="825"/>
    <w:uiPriority w:val="39"/>
    <w:unhideWhenUsed/>
    <w:pPr>
      <w:ind w:left="1417"/>
      <w:spacing w:after="57"/>
    </w:pPr>
  </w:style>
  <w:style w:type="paragraph" w:styleId="995">
    <w:name w:val="toc 7"/>
    <w:basedOn w:val="825"/>
    <w:next w:val="825"/>
    <w:uiPriority w:val="39"/>
    <w:unhideWhenUsed/>
    <w:pPr>
      <w:ind w:left="1701"/>
      <w:spacing w:after="57"/>
    </w:pPr>
  </w:style>
  <w:style w:type="paragraph" w:styleId="996">
    <w:name w:val="toc 8"/>
    <w:basedOn w:val="825"/>
    <w:next w:val="825"/>
    <w:uiPriority w:val="39"/>
    <w:unhideWhenUsed/>
    <w:pPr>
      <w:ind w:left="1984"/>
      <w:spacing w:after="57"/>
    </w:pPr>
  </w:style>
  <w:style w:type="paragraph" w:styleId="997">
    <w:name w:val="toc 9"/>
    <w:basedOn w:val="825"/>
    <w:next w:val="825"/>
    <w:uiPriority w:val="39"/>
    <w:unhideWhenUsed/>
    <w:pPr>
      <w:ind w:left="2268"/>
      <w:spacing w:after="57"/>
    </w:pPr>
  </w:style>
  <w:style w:type="paragraph" w:styleId="998">
    <w:name w:val="TOC Heading"/>
    <w:uiPriority w:val="39"/>
    <w:unhideWhenUsed/>
  </w:style>
  <w:style w:type="paragraph" w:styleId="999">
    <w:name w:val="table of figures"/>
    <w:basedOn w:val="825"/>
    <w:next w:val="825"/>
    <w:uiPriority w:val="99"/>
    <w:unhideWhenUsed/>
  </w:style>
  <w:style w:type="character" w:styleId="1000" w:customStyle="1">
    <w:name w:val="Заголовок 2 Знак"/>
    <w:link w:val="827"/>
    <w:rPr>
      <w:rFonts w:ascii="Arial" w:hAnsi="Arial" w:eastAsia="Times New Roman" w:cs="Arial"/>
      <w:b/>
      <w:bCs/>
      <w:i/>
      <w:iCs/>
      <w:sz w:val="28"/>
      <w:szCs w:val="28"/>
      <w:lang w:eastAsia="ru-RU"/>
    </w:rPr>
  </w:style>
  <w:style w:type="paragraph" w:styleId="1001">
    <w:name w:val="Body Text"/>
    <w:basedOn w:val="825"/>
    <w:link w:val="1002"/>
    <w:pPr>
      <w:jc w:val="center"/>
    </w:pPr>
    <w:rPr>
      <w:sz w:val="28"/>
      <w:szCs w:val="20"/>
    </w:rPr>
  </w:style>
  <w:style w:type="character" w:styleId="1002" w:customStyle="1">
    <w:name w:val="Основной текст Знак"/>
    <w:link w:val="1001"/>
    <w:rPr>
      <w:rFonts w:eastAsia="Times New Roman" w:cs="Times New Roman"/>
      <w:sz w:val="28"/>
      <w:szCs w:val="20"/>
      <w:lang w:eastAsia="ru-RU"/>
    </w:rPr>
  </w:style>
  <w:style w:type="paragraph" w:styleId="1003">
    <w:name w:val="Body Text 3"/>
    <w:basedOn w:val="825"/>
    <w:link w:val="1004"/>
    <w:pPr>
      <w:spacing w:after="120"/>
    </w:pPr>
    <w:rPr>
      <w:sz w:val="16"/>
      <w:szCs w:val="16"/>
    </w:rPr>
  </w:style>
  <w:style w:type="character" w:styleId="1004" w:customStyle="1">
    <w:name w:val="Основной текст 3 Знак"/>
    <w:link w:val="1003"/>
    <w:rPr>
      <w:rFonts w:eastAsia="Times New Roman" w:cs="Times New Roman"/>
      <w:sz w:val="16"/>
      <w:szCs w:val="16"/>
      <w:lang w:eastAsia="ru-RU"/>
    </w:rPr>
  </w:style>
  <w:style w:type="paragraph" w:styleId="1005">
    <w:name w:val="Title"/>
    <w:basedOn w:val="825"/>
    <w:link w:val="1006"/>
    <w:qFormat/>
    <w:pPr>
      <w:ind w:left="-142" w:right="282" w:hanging="142"/>
      <w:jc w:val="center"/>
      <w:spacing w:before="600"/>
    </w:pPr>
    <w:rPr>
      <w:b/>
      <w:sz w:val="28"/>
      <w:szCs w:val="20"/>
    </w:rPr>
  </w:style>
  <w:style w:type="character" w:styleId="1006" w:customStyle="1">
    <w:name w:val="Заголовок Знак"/>
    <w:link w:val="1005"/>
    <w:rPr>
      <w:rFonts w:eastAsia="Times New Roman" w:cs="Times New Roman"/>
      <w:b/>
      <w:sz w:val="28"/>
      <w:szCs w:val="20"/>
      <w:lang w:eastAsia="ru-RU"/>
    </w:rPr>
  </w:style>
  <w:style w:type="paragraph" w:styleId="1007" w:customStyle="1">
    <w:name w:val="ConsNormal"/>
    <w:pPr>
      <w:ind w:right="19772" w:firstLine="720"/>
    </w:pPr>
    <w:rPr>
      <w:rFonts w:ascii="Arial" w:hAnsi="Arial" w:eastAsia="Times New Roman" w:cs="Arial"/>
    </w:rPr>
  </w:style>
  <w:style w:type="paragraph" w:styleId="1008">
    <w:name w:val="Plain Text"/>
    <w:basedOn w:val="825"/>
    <w:link w:val="1009"/>
    <w:rPr>
      <w:rFonts w:ascii="Courier New" w:hAnsi="Courier New"/>
      <w:sz w:val="20"/>
      <w:szCs w:val="20"/>
    </w:rPr>
  </w:style>
  <w:style w:type="character" w:styleId="1009" w:customStyle="1">
    <w:name w:val="Текст Знак"/>
    <w:link w:val="1008"/>
    <w:rPr>
      <w:rFonts w:ascii="Courier New" w:hAnsi="Courier New" w:eastAsia="Times New Roman" w:cs="Times New Roman"/>
      <w:sz w:val="20"/>
      <w:szCs w:val="20"/>
      <w:lang w:eastAsia="ru-RU"/>
    </w:rPr>
  </w:style>
  <w:style w:type="paragraph" w:styleId="1010" w:customStyle="1">
    <w:name w:val="ConsPlusNormal"/>
    <w:pPr>
      <w:ind w:firstLine="720"/>
    </w:pPr>
    <w:rPr>
      <w:rFonts w:ascii="Arial" w:hAnsi="Arial" w:eastAsia="Times New Roman" w:cs="Arial"/>
    </w:rPr>
  </w:style>
  <w:style w:type="paragraph" w:styleId="1011">
    <w:name w:val="Header"/>
    <w:basedOn w:val="825"/>
    <w:link w:val="1012"/>
    <w:pPr>
      <w:tabs>
        <w:tab w:val="center" w:pos="4677" w:leader="none"/>
        <w:tab w:val="right" w:pos="9355" w:leader="none"/>
      </w:tabs>
    </w:pPr>
    <w:rPr>
      <w:sz w:val="20"/>
    </w:rPr>
  </w:style>
  <w:style w:type="character" w:styleId="1012" w:customStyle="1">
    <w:name w:val="Верхний колонтитул Знак"/>
    <w:link w:val="1011"/>
    <w:rPr>
      <w:rFonts w:eastAsia="Times New Roman" w:cs="Times New Roman"/>
      <w:szCs w:val="24"/>
      <w:lang w:eastAsia="ru-RU"/>
    </w:rPr>
  </w:style>
  <w:style w:type="paragraph" w:styleId="1013">
    <w:name w:val="Footer"/>
    <w:basedOn w:val="825"/>
    <w:link w:val="1014"/>
    <w:uiPriority w:val="99"/>
    <w:pPr>
      <w:tabs>
        <w:tab w:val="center" w:pos="4677" w:leader="none"/>
        <w:tab w:val="right" w:pos="9355" w:leader="none"/>
      </w:tabs>
    </w:pPr>
    <w:rPr>
      <w:sz w:val="20"/>
    </w:rPr>
  </w:style>
  <w:style w:type="character" w:styleId="1014" w:customStyle="1">
    <w:name w:val="Нижний колонтитул Знак"/>
    <w:link w:val="1013"/>
    <w:uiPriority w:val="99"/>
    <w:rPr>
      <w:rFonts w:eastAsia="Times New Roman" w:cs="Times New Roman"/>
      <w:szCs w:val="24"/>
      <w:lang w:eastAsia="ru-RU"/>
    </w:rPr>
  </w:style>
  <w:style w:type="character" w:styleId="1015">
    <w:name w:val="page number"/>
    <w:basedOn w:val="835"/>
  </w:style>
  <w:style w:type="paragraph" w:styleId="1016">
    <w:name w:val="List Paragraph"/>
    <w:basedOn w:val="825"/>
    <w:uiPriority w:val="34"/>
    <w:qFormat/>
    <w:pPr>
      <w:contextualSpacing/>
      <w:ind w:left="720"/>
    </w:pPr>
  </w:style>
  <w:style w:type="character" w:styleId="1017" w:customStyle="1">
    <w:name w:val="Заголовок 5 Знак"/>
    <w:link w:val="830"/>
    <w:uiPriority w:val="9"/>
    <w:semiHidden/>
    <w:rPr>
      <w:rFonts w:ascii="Cambria" w:hAnsi="Cambria" w:eastAsia="Times New Roman" w:cs="Times New Roman"/>
      <w:color w:val="243f60"/>
      <w:szCs w:val="24"/>
      <w:lang w:eastAsia="ru-RU"/>
    </w:rPr>
  </w:style>
  <w:style w:type="paragraph" w:styleId="1018">
    <w:name w:val="Balloon Text"/>
    <w:basedOn w:val="825"/>
    <w:link w:val="1019"/>
    <w:uiPriority w:val="99"/>
    <w:semiHidden/>
    <w:unhideWhenUsed/>
    <w:rPr>
      <w:rFonts w:ascii="Tahoma" w:hAnsi="Tahoma"/>
      <w:sz w:val="16"/>
      <w:szCs w:val="16"/>
    </w:rPr>
  </w:style>
  <w:style w:type="character" w:styleId="1019" w:customStyle="1">
    <w:name w:val="Текст выноски Знак"/>
    <w:link w:val="1018"/>
    <w:uiPriority w:val="99"/>
    <w:semiHidden/>
    <w:rPr>
      <w:rFonts w:ascii="Tahoma" w:hAnsi="Tahoma" w:eastAsia="Times New Roman" w:cs="Tahoma"/>
      <w:sz w:val="16"/>
      <w:szCs w:val="16"/>
      <w:lang w:eastAsia="ru-RU"/>
    </w:rPr>
  </w:style>
  <w:style w:type="character" w:styleId="1020">
    <w:name w:val="annotation reference"/>
    <w:uiPriority w:val="99"/>
    <w:semiHidden/>
    <w:unhideWhenUsed/>
    <w:rPr>
      <w:sz w:val="16"/>
      <w:szCs w:val="16"/>
    </w:rPr>
  </w:style>
  <w:style w:type="paragraph" w:styleId="1021">
    <w:name w:val="annotation text"/>
    <w:basedOn w:val="825"/>
    <w:link w:val="1022"/>
    <w:uiPriority w:val="99"/>
    <w:semiHidden/>
    <w:unhideWhenUsed/>
    <w:rPr>
      <w:sz w:val="20"/>
      <w:szCs w:val="20"/>
    </w:rPr>
  </w:style>
  <w:style w:type="character" w:styleId="1022" w:customStyle="1">
    <w:name w:val="Текст примечания Знак"/>
    <w:link w:val="1021"/>
    <w:uiPriority w:val="99"/>
    <w:semiHidden/>
    <w:rPr>
      <w:rFonts w:eastAsia="Times New Roman"/>
    </w:rPr>
  </w:style>
  <w:style w:type="paragraph" w:styleId="1023">
    <w:name w:val="annotation subject"/>
    <w:basedOn w:val="1021"/>
    <w:next w:val="1021"/>
    <w:link w:val="1024"/>
    <w:uiPriority w:val="99"/>
    <w:semiHidden/>
    <w:unhideWhenUsed/>
    <w:rPr>
      <w:b/>
      <w:bCs/>
    </w:rPr>
  </w:style>
  <w:style w:type="character" w:styleId="1024" w:customStyle="1">
    <w:name w:val="Тема примечания Знак"/>
    <w:link w:val="1023"/>
    <w:uiPriority w:val="99"/>
    <w:semiHidden/>
    <w:rPr>
      <w:rFonts w:eastAsia="Times New Roman"/>
      <w:b/>
      <w:bCs/>
    </w:rPr>
  </w:style>
  <w:style w:type="paragraph" w:styleId="1025">
    <w:name w:val="Body Text Indent 3"/>
    <w:basedOn w:val="825"/>
    <w:link w:val="1026"/>
    <w:uiPriority w:val="99"/>
    <w:semiHidden/>
    <w:unhideWhenUsed/>
    <w:pPr>
      <w:ind w:left="283"/>
      <w:spacing w:after="120"/>
    </w:pPr>
    <w:rPr>
      <w:sz w:val="16"/>
      <w:szCs w:val="16"/>
    </w:rPr>
  </w:style>
  <w:style w:type="character" w:styleId="1026" w:customStyle="1">
    <w:name w:val="Основной текст с отступом 3 Знак"/>
    <w:link w:val="1025"/>
    <w:uiPriority w:val="99"/>
    <w:semiHidden/>
    <w:rPr>
      <w:rFonts w:eastAsia="Times New Roman"/>
      <w:sz w:val="16"/>
      <w:szCs w:val="16"/>
    </w:rPr>
  </w:style>
  <w:style w:type="paragraph" w:styleId="1027" w:customStyle="1">
    <w:name w:val="Текст2"/>
    <w:basedOn w:val="825"/>
    <w:rPr>
      <w:rFonts w:ascii="Courier New" w:hAnsi="Courier New" w:cs="Courier New"/>
      <w:sz w:val="20"/>
      <w:szCs w:val="20"/>
      <w:lang w:eastAsia="ar-SA"/>
    </w:rPr>
  </w:style>
  <w:style w:type="character" w:styleId="1028">
    <w:name w:val="Hyperlink"/>
    <w:uiPriority w:val="99"/>
    <w:unhideWhenUsed/>
    <w:rPr>
      <w:color w:val="0000ff"/>
      <w:u w:val="single"/>
    </w:rPr>
  </w:style>
  <w:style w:type="paragraph" w:styleId="1029" w:customStyle="1">
    <w:name w:val="Таблица текст"/>
    <w:basedOn w:val="825"/>
    <w:pPr>
      <w:ind w:left="57" w:right="57"/>
      <w:spacing w:before="40" w:after="40"/>
    </w:pPr>
    <w:rPr>
      <w:szCs w:val="20"/>
    </w:rPr>
  </w:style>
  <w:style w:type="character" w:styleId="1030" w:customStyle="1">
    <w:name w:val="нум текст дог Знак"/>
    <w:link w:val="1031"/>
    <w:rPr>
      <w:color w:val="000000"/>
      <w:sz w:val="24"/>
      <w:szCs w:val="24"/>
    </w:rPr>
  </w:style>
  <w:style w:type="paragraph" w:styleId="1031" w:customStyle="1">
    <w:name w:val="нум текст дог"/>
    <w:basedOn w:val="1016"/>
    <w:link w:val="1030"/>
    <w:qFormat/>
    <w:pPr>
      <w:contextualSpacing w:val="0"/>
      <w:ind w:left="0"/>
      <w:jc w:val="both"/>
      <w:widowControl w:val="off"/>
      <w:tabs>
        <w:tab w:val="left" w:pos="1276" w:leader="none"/>
      </w:tabs>
    </w:pPr>
    <w:rPr>
      <w:rFonts w:eastAsia="Calibri"/>
      <w:color w:val="000000"/>
    </w:rPr>
  </w:style>
  <w:style w:type="character" w:styleId="1032" w:customStyle="1">
    <w:name w:val="Font Style21"/>
    <w:uiPriority w:val="99"/>
    <w:rPr>
      <w:rFonts w:ascii="Arial" w:hAnsi="Arial" w:cs="Arial"/>
      <w:sz w:val="16"/>
      <w:szCs w:val="16"/>
    </w:rPr>
  </w:style>
  <w:style w:type="character" w:styleId="1033" w:customStyle="1">
    <w:name w:val="Font Style80"/>
    <w:rPr>
      <w:rFonts w:hint="default" w:ascii="Times New Roman" w:hAnsi="Times New Roman" w:cs="Times New Roman"/>
      <w:sz w:val="28"/>
      <w:szCs w:val="28"/>
    </w:rPr>
  </w:style>
  <w:style w:type="paragraph" w:styleId="1034" w:customStyle="1">
    <w:name w:val="ПрилТекст1"/>
    <w:basedOn w:val="825"/>
    <w:pPr>
      <w:numPr>
        <w:ilvl w:val="0"/>
        <w:numId w:val="9"/>
      </w:numPr>
      <w:jc w:val="both"/>
      <w:spacing w:before="60"/>
    </w:pPr>
    <w:rPr>
      <w:sz w:val="26"/>
      <w:szCs w:val="20"/>
    </w:rPr>
  </w:style>
  <w:style w:type="paragraph" w:styleId="1035" w:customStyle="1">
    <w:name w:val="ПрилТекст2"/>
    <w:basedOn w:val="825"/>
    <w:pPr>
      <w:numPr>
        <w:ilvl w:val="1"/>
        <w:numId w:val="9"/>
      </w:numPr>
      <w:jc w:val="both"/>
      <w:spacing w:before="60"/>
    </w:pPr>
    <w:rPr>
      <w:sz w:val="26"/>
      <w:szCs w:val="20"/>
    </w:rPr>
  </w:style>
  <w:style w:type="paragraph" w:styleId="1036" w:customStyle="1">
    <w:name w:val="ПрилТекст3"/>
    <w:basedOn w:val="825"/>
    <w:pPr>
      <w:numPr>
        <w:ilvl w:val="2"/>
        <w:numId w:val="9"/>
      </w:numPr>
      <w:jc w:val="both"/>
      <w:spacing w:before="60"/>
    </w:pPr>
    <w:rPr>
      <w:sz w:val="26"/>
      <w:szCs w:val="20"/>
    </w:rPr>
  </w:style>
  <w:style w:type="paragraph" w:styleId="1037">
    <w:name w:val="endnote text"/>
    <w:basedOn w:val="825"/>
    <w:link w:val="1038"/>
    <w:uiPriority w:val="99"/>
    <w:semiHidden/>
    <w:unhideWhenUsed/>
    <w:rPr>
      <w:rFonts w:ascii="Calibri" w:hAnsi="Calibri" w:eastAsia="Calibri"/>
      <w:sz w:val="20"/>
      <w:szCs w:val="20"/>
      <w:lang w:eastAsia="en-US"/>
    </w:rPr>
  </w:style>
  <w:style w:type="character" w:styleId="1038" w:customStyle="1">
    <w:name w:val="Текст концевой сноски Знак"/>
    <w:link w:val="1037"/>
    <w:uiPriority w:val="99"/>
    <w:semiHidden/>
    <w:rPr>
      <w:rFonts w:ascii="Calibri" w:hAnsi="Calibri"/>
      <w:lang w:eastAsia="en-US"/>
    </w:rPr>
  </w:style>
  <w:style w:type="character" w:styleId="1039">
    <w:name w:val="endnote reference"/>
    <w:uiPriority w:val="99"/>
    <w:semiHidden/>
    <w:unhideWhenUsed/>
    <w:rPr>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footer" Target="footer4.xml" /><Relationship Id="rId18" Type="http://schemas.openxmlformats.org/officeDocument/2006/relationships/customXml" Target="../customXml/item1.xml" /><Relationship Id="rId19" Type="http://schemas.openxmlformats.org/officeDocument/2006/relationships/hyperlink" Target="consultantplus://offline/ref=1ED926C427C39AC8B4A2C047CF32E07575853E0CBFE38D3B67FC8E7F8DA23A34E3C771A1CB28C283941D4505AB2E6195E2650623CFB118F6X7OBL"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E144A-D76A-4A85-BD6D-5BC1975B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№10012511002</dc:title>
  <dc:subject/>
  <dc:creator>LYASCHUK Artem S.</dc:creator>
  <cp:keywords/>
  <cp:lastModifiedBy>sergeeva_evl</cp:lastModifiedBy>
  <cp:revision>9</cp:revision>
  <dcterms:created xsi:type="dcterms:W3CDTF">2023-12-07T08:07:00Z</dcterms:created>
  <dcterms:modified xsi:type="dcterms:W3CDTF">2026-01-14T11:08:12Z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gic_key">
    <vt:lpwstr/>
  </property>
  <property fmtid="{D5CDD505-2E9C-101B-9397-08002B2CF9AE}" pid="3" name="CustomObjectId">
    <vt:lpwstr/>
  </property>
  <property fmtid="{D5CDD505-2E9C-101B-9397-08002B2CF9AE}" pid="4" name="CustomServerURL">
    <vt:lpwstr/>
  </property>
  <property fmtid="{D5CDD505-2E9C-101B-9397-08002B2CF9AE}" pid="5" name="CustomUserId">
    <vt:lpwstr/>
  </property>
  <property fmtid="{D5CDD505-2E9C-101B-9397-08002B2CF9AE}" pid="6" name="CustomObjectState">
    <vt:lpwstr/>
  </property>
  <property fmtid="{D5CDD505-2E9C-101B-9397-08002B2CF9AE}" pid="7" name="MacrosDisabled">
    <vt:lpwstr/>
  </property>
  <property fmtid="{D5CDD505-2E9C-101B-9397-08002B2CF9AE}" pid="8" name="ConfirmationToolBarEnabled">
    <vt:lpwstr/>
  </property>
</Properties>
</file>